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187EF" w14:textId="77777777" w:rsidR="00C92964" w:rsidRPr="00B23A32" w:rsidRDefault="00C92964">
      <w:pPr>
        <w:spacing w:after="240"/>
        <w:rPr>
          <w:rFonts w:asciiTheme="majorHAnsi" w:hAnsiTheme="majorHAnsi"/>
        </w:rPr>
      </w:pPr>
    </w:p>
    <w:p w14:paraId="2088BD75" w14:textId="77777777" w:rsidR="00C92964" w:rsidRPr="00B23A32" w:rsidRDefault="00C92964">
      <w:pPr>
        <w:spacing w:after="240"/>
        <w:rPr>
          <w:rFonts w:asciiTheme="majorHAnsi" w:hAnsiTheme="majorHAnsi"/>
        </w:rPr>
      </w:pPr>
    </w:p>
    <w:p w14:paraId="38D8FEFB" w14:textId="77777777" w:rsidR="00C92964" w:rsidRPr="00B23A32" w:rsidRDefault="00000000">
      <w:pPr>
        <w:spacing w:before="360" w:after="360"/>
        <w:jc w:val="center"/>
        <w:rPr>
          <w:rFonts w:asciiTheme="majorHAnsi" w:hAnsiTheme="majorHAnsi"/>
        </w:rPr>
      </w:pPr>
      <w:r w:rsidRPr="00B23A32">
        <w:rPr>
          <w:rFonts w:asciiTheme="majorHAnsi" w:hAnsiTheme="majorHAnsi"/>
          <w:b/>
          <w:bCs/>
          <w:sz w:val="40"/>
          <w:szCs w:val="40"/>
        </w:rPr>
        <w:t>[COMPANY NAME]</w:t>
      </w:r>
    </w:p>
    <w:p w14:paraId="77BAB5FA" w14:textId="77777777" w:rsidR="00C92964" w:rsidRPr="00B23A32" w:rsidRDefault="00000000">
      <w:pPr>
        <w:spacing w:after="120"/>
        <w:jc w:val="center"/>
        <w:rPr>
          <w:rFonts w:asciiTheme="majorHAnsi" w:hAnsiTheme="majorHAnsi"/>
        </w:rPr>
      </w:pPr>
      <w:r w:rsidRPr="00B23A32">
        <w:rPr>
          <w:rFonts w:asciiTheme="majorHAnsi" w:hAnsiTheme="majorHAnsi"/>
        </w:rPr>
        <w:t xml:space="preserve">A simplified joint-stock company (SAS) with share capital of </w:t>
      </w:r>
      <w:r w:rsidRPr="00B23A32">
        <w:rPr>
          <w:rFonts w:asciiTheme="majorHAnsi" w:hAnsiTheme="majorHAnsi"/>
          <w:b/>
          <w:bCs/>
          <w:color w:val="6B7EFF"/>
        </w:rPr>
        <w:t>[SHARE CAPITAL AMOUNT] euros</w:t>
      </w:r>
    </w:p>
    <w:p w14:paraId="50E42D02" w14:textId="77777777" w:rsidR="00C92964" w:rsidRPr="00B23A32" w:rsidRDefault="00000000">
      <w:pPr>
        <w:spacing w:after="120"/>
        <w:jc w:val="center"/>
        <w:rPr>
          <w:rFonts w:asciiTheme="majorHAnsi" w:hAnsiTheme="majorHAnsi"/>
        </w:rPr>
      </w:pPr>
      <w:r w:rsidRPr="00B23A32">
        <w:rPr>
          <w:rFonts w:asciiTheme="majorHAnsi" w:hAnsiTheme="majorHAnsi"/>
        </w:rPr>
        <w:t xml:space="preserve">Registered office: </w:t>
      </w:r>
      <w:r w:rsidRPr="00B23A32">
        <w:rPr>
          <w:rFonts w:asciiTheme="majorHAnsi" w:hAnsiTheme="majorHAnsi"/>
          <w:b/>
          <w:bCs/>
          <w:color w:val="6B7EFF"/>
        </w:rPr>
        <w:t>[REGISTERED OFFICE ADDRESS]</w:t>
      </w:r>
    </w:p>
    <w:p w14:paraId="5C9F82DC" w14:textId="77777777" w:rsidR="00C92964" w:rsidRPr="00B23A32" w:rsidRDefault="00000000">
      <w:pPr>
        <w:spacing w:after="480"/>
        <w:jc w:val="center"/>
        <w:rPr>
          <w:rFonts w:asciiTheme="majorHAnsi" w:hAnsiTheme="majorHAnsi"/>
        </w:rPr>
      </w:pPr>
      <w:r w:rsidRPr="00B23A32">
        <w:rPr>
          <w:rFonts w:asciiTheme="majorHAnsi" w:hAnsiTheme="majorHAnsi"/>
        </w:rPr>
        <w:t xml:space="preserve">RCS: </w:t>
      </w:r>
      <w:r w:rsidRPr="00B23A32">
        <w:rPr>
          <w:rFonts w:asciiTheme="majorHAnsi" w:hAnsiTheme="majorHAnsi"/>
          <w:b/>
          <w:bCs/>
          <w:color w:val="6B7EFF"/>
        </w:rPr>
        <w:t>[in the process of being incorporated / RCS NUMBER once registered]</w:t>
      </w:r>
    </w:p>
    <w:p w14:paraId="6E6C29A8" w14:textId="77777777" w:rsidR="00C92964" w:rsidRPr="00B23A32" w:rsidRDefault="00C92964">
      <w:pPr>
        <w:spacing w:after="240"/>
        <w:rPr>
          <w:rFonts w:asciiTheme="majorHAnsi" w:hAnsiTheme="majorHAnsi"/>
        </w:rPr>
      </w:pPr>
    </w:p>
    <w:p w14:paraId="4686F5E9" w14:textId="77777777" w:rsidR="00C92964" w:rsidRPr="00B23A32" w:rsidRDefault="00C92964">
      <w:pPr>
        <w:spacing w:after="240"/>
        <w:rPr>
          <w:rFonts w:asciiTheme="majorHAnsi" w:hAnsiTheme="majorHAnsi"/>
        </w:rPr>
      </w:pPr>
    </w:p>
    <w:p w14:paraId="4294CA6E" w14:textId="77777777" w:rsidR="00C92964" w:rsidRPr="00B23A32" w:rsidRDefault="00000000">
      <w:pPr>
        <w:spacing w:before="360" w:after="360"/>
        <w:jc w:val="center"/>
        <w:rPr>
          <w:rFonts w:asciiTheme="majorHAnsi" w:hAnsiTheme="majorHAnsi"/>
        </w:rPr>
      </w:pPr>
      <w:r w:rsidRPr="00B23A32">
        <w:rPr>
          <w:rFonts w:asciiTheme="majorHAnsi" w:hAnsiTheme="majorHAnsi"/>
          <w:b/>
          <w:bCs/>
          <w:sz w:val="40"/>
          <w:szCs w:val="40"/>
        </w:rPr>
        <w:t>ARTICLES OF ASSOCIATION</w:t>
      </w:r>
    </w:p>
    <w:p w14:paraId="6126AF2E" w14:textId="77777777" w:rsidR="00C92964" w:rsidRPr="00B23A32" w:rsidRDefault="00C92964">
      <w:pPr>
        <w:spacing w:after="240"/>
        <w:rPr>
          <w:rFonts w:asciiTheme="majorHAnsi" w:hAnsiTheme="majorHAnsi"/>
        </w:rPr>
      </w:pPr>
    </w:p>
    <w:p w14:paraId="241B7405" w14:textId="77777777" w:rsidR="00C92964" w:rsidRPr="00B23A32" w:rsidRDefault="00C92964">
      <w:pPr>
        <w:spacing w:after="240"/>
        <w:rPr>
          <w:rFonts w:asciiTheme="majorHAnsi" w:hAnsiTheme="majorHAnsi"/>
        </w:rPr>
      </w:pPr>
    </w:p>
    <w:p w14:paraId="4C3EA467" w14:textId="2D726552" w:rsidR="00C92964" w:rsidRPr="00B23A32" w:rsidRDefault="00000000">
      <w:pPr>
        <w:spacing w:after="120"/>
        <w:jc w:val="center"/>
        <w:rPr>
          <w:rFonts w:asciiTheme="majorHAnsi" w:hAnsiTheme="majorHAnsi"/>
        </w:rPr>
      </w:pPr>
      <w:r w:rsidRPr="00B23A32">
        <w:rPr>
          <w:rFonts w:asciiTheme="majorHAnsi" w:hAnsiTheme="majorHAnsi"/>
          <w:i/>
          <w:iCs/>
          <w:color w:val="666666"/>
        </w:rPr>
        <w:t xml:space="preserve">— </w:t>
      </w:r>
      <w:r w:rsidR="008E3B14">
        <w:rPr>
          <w:rFonts w:asciiTheme="majorHAnsi" w:hAnsiTheme="majorHAnsi"/>
          <w:i/>
          <w:iCs/>
          <w:color w:val="666666"/>
          <w:lang w:val="fr-FR"/>
        </w:rPr>
        <w:t>Indicative</w:t>
      </w:r>
      <w:r w:rsidRPr="00B23A32">
        <w:rPr>
          <w:rFonts w:asciiTheme="majorHAnsi" w:hAnsiTheme="majorHAnsi"/>
          <w:i/>
          <w:iCs/>
          <w:color w:val="666666"/>
        </w:rPr>
        <w:t xml:space="preserve"> template —</w:t>
      </w:r>
    </w:p>
    <w:p w14:paraId="1A35F34A" w14:textId="77777777" w:rsidR="00C92964" w:rsidRPr="00B23A32" w:rsidRDefault="00000000">
      <w:pPr>
        <w:spacing w:after="120"/>
        <w:jc w:val="center"/>
        <w:rPr>
          <w:rFonts w:asciiTheme="majorHAnsi" w:hAnsiTheme="majorHAnsi"/>
        </w:rPr>
      </w:pPr>
      <w:r w:rsidRPr="00B23A32">
        <w:rPr>
          <w:rFonts w:asciiTheme="majorHAnsi" w:hAnsiTheme="majorHAnsi"/>
          <w:i/>
          <w:iCs/>
          <w:color w:val="666666"/>
          <w:sz w:val="20"/>
          <w:szCs w:val="20"/>
        </w:rPr>
        <w:t>All fields in coloured brackets must be completed before signature.</w:t>
      </w:r>
    </w:p>
    <w:p w14:paraId="22C318A1" w14:textId="74785CF3" w:rsidR="00C92964" w:rsidRPr="00B23A32" w:rsidRDefault="00000000">
      <w:pPr>
        <w:spacing w:after="120"/>
        <w:jc w:val="center"/>
        <w:rPr>
          <w:rFonts w:asciiTheme="majorHAnsi" w:hAnsiTheme="majorHAnsi"/>
        </w:rPr>
      </w:pPr>
      <w:r w:rsidRPr="00B23A32">
        <w:rPr>
          <w:rFonts w:asciiTheme="majorHAnsi" w:hAnsiTheme="majorHAnsi"/>
          <w:i/>
          <w:iCs/>
          <w:color w:val="666666"/>
          <w:sz w:val="20"/>
          <w:szCs w:val="20"/>
        </w:rPr>
        <w:t xml:space="preserve">This template reflects a single-founder SAS </w:t>
      </w:r>
      <w:r w:rsidR="008E3B14">
        <w:rPr>
          <w:rFonts w:asciiTheme="majorHAnsi" w:hAnsiTheme="majorHAnsi"/>
          <w:i/>
          <w:iCs/>
          <w:color w:val="666666"/>
          <w:sz w:val="20"/>
          <w:szCs w:val="20"/>
          <w:lang w:val="en-US"/>
        </w:rPr>
        <w:t xml:space="preserve">with contemplated future inclusion of additional shareholders. The bylaws </w:t>
      </w:r>
      <w:r w:rsidRPr="00B23A32">
        <w:rPr>
          <w:rFonts w:asciiTheme="majorHAnsi" w:hAnsiTheme="majorHAnsi"/>
          <w:i/>
          <w:iCs/>
          <w:color w:val="666666"/>
          <w:sz w:val="20"/>
          <w:szCs w:val="20"/>
        </w:rPr>
        <w:t>reserv</w:t>
      </w:r>
      <w:r w:rsidR="008E3B14" w:rsidRPr="008E3B14">
        <w:rPr>
          <w:rFonts w:asciiTheme="majorHAnsi" w:hAnsiTheme="majorHAnsi"/>
          <w:i/>
          <w:iCs/>
          <w:color w:val="666666"/>
          <w:sz w:val="20"/>
          <w:szCs w:val="20"/>
          <w:lang w:val="en-US"/>
        </w:rPr>
        <w:t>e</w:t>
      </w:r>
      <w:r w:rsidRPr="00B23A32">
        <w:rPr>
          <w:rFonts w:asciiTheme="majorHAnsi" w:hAnsiTheme="majorHAnsi"/>
          <w:i/>
          <w:iCs/>
          <w:color w:val="666666"/>
          <w:sz w:val="20"/>
          <w:szCs w:val="20"/>
        </w:rPr>
        <w:t xml:space="preserve"> drag-along clause, pre-emption rights, approval (agrément) and shareholder exclusion.</w:t>
      </w:r>
    </w:p>
    <w:p w14:paraId="31949B8D" w14:textId="77777777" w:rsidR="00C92964" w:rsidRPr="00B23A32" w:rsidRDefault="00000000">
      <w:pPr>
        <w:spacing w:after="120"/>
        <w:jc w:val="center"/>
        <w:rPr>
          <w:rFonts w:asciiTheme="majorHAnsi" w:hAnsiTheme="majorHAnsi"/>
        </w:rPr>
      </w:pPr>
      <w:r w:rsidRPr="00B23A32">
        <w:rPr>
          <w:rFonts w:asciiTheme="majorHAnsi" w:hAnsiTheme="majorHAnsi"/>
          <w:i/>
          <w:iCs/>
          <w:color w:val="666666"/>
          <w:sz w:val="20"/>
          <w:szCs w:val="20"/>
        </w:rPr>
        <w:t>Professional legal review is required before adoption.</w:t>
      </w:r>
    </w:p>
    <w:p w14:paraId="2D203981" w14:textId="77777777" w:rsidR="00C92964" w:rsidRPr="00B23A32" w:rsidRDefault="00000000">
      <w:pPr>
        <w:rPr>
          <w:rFonts w:asciiTheme="majorHAnsi" w:hAnsiTheme="majorHAnsi"/>
        </w:rPr>
      </w:pPr>
      <w:r w:rsidRPr="00B23A32">
        <w:rPr>
          <w:rFonts w:asciiTheme="majorHAnsi" w:hAnsiTheme="majorHAnsi"/>
        </w:rPr>
        <w:br w:type="page"/>
      </w:r>
    </w:p>
    <w:p w14:paraId="484AD611" w14:textId="77777777" w:rsidR="00C92964" w:rsidRPr="00B23A32" w:rsidRDefault="00000000">
      <w:pPr>
        <w:spacing w:after="240"/>
        <w:rPr>
          <w:rFonts w:asciiTheme="majorHAnsi" w:hAnsiTheme="majorHAnsi"/>
        </w:rPr>
      </w:pPr>
      <w:r w:rsidRPr="00B23A32">
        <w:rPr>
          <w:rFonts w:asciiTheme="majorHAnsi" w:hAnsiTheme="majorHAnsi"/>
          <w:b/>
          <w:bCs/>
        </w:rPr>
        <w:lastRenderedPageBreak/>
        <w:t>THE UNDERSIGNED,</w:t>
      </w:r>
    </w:p>
    <w:p w14:paraId="7A031999" w14:textId="77777777" w:rsidR="00C92964" w:rsidRPr="00B23A32" w:rsidRDefault="00000000">
      <w:pPr>
        <w:spacing w:after="160" w:line="300" w:lineRule="auto"/>
        <w:jc w:val="both"/>
        <w:rPr>
          <w:rFonts w:asciiTheme="majorHAnsi" w:hAnsiTheme="majorHAnsi"/>
        </w:rPr>
      </w:pPr>
      <w:r w:rsidRPr="00B23A32">
        <w:rPr>
          <w:rFonts w:asciiTheme="majorHAnsi" w:hAnsiTheme="majorHAnsi"/>
          <w:b/>
          <w:bCs/>
          <w:color w:val="6B7EFF"/>
        </w:rPr>
        <w:t>[FOUNDING SHAREHOLDER NAME]</w:t>
      </w:r>
      <w:r w:rsidRPr="00B23A32">
        <w:rPr>
          <w:rFonts w:asciiTheme="majorHAnsi" w:hAnsiTheme="majorHAnsi"/>
        </w:rPr>
        <w:t xml:space="preserve">, a </w:t>
      </w:r>
      <w:r w:rsidRPr="00B23A32">
        <w:rPr>
          <w:rFonts w:asciiTheme="majorHAnsi" w:hAnsiTheme="majorHAnsi"/>
          <w:b/>
          <w:bCs/>
          <w:color w:val="6B7EFF"/>
        </w:rPr>
        <w:t>[LEGAL FORM OF THE FOUNDING SHAREHOLDER]</w:t>
      </w:r>
      <w:r w:rsidRPr="00B23A32">
        <w:rPr>
          <w:rFonts w:asciiTheme="majorHAnsi" w:hAnsiTheme="majorHAnsi"/>
        </w:rPr>
        <w:t xml:space="preserve"> incorporated under </w:t>
      </w:r>
      <w:r w:rsidRPr="00B23A32">
        <w:rPr>
          <w:rFonts w:asciiTheme="majorHAnsi" w:hAnsiTheme="majorHAnsi"/>
          <w:b/>
          <w:bCs/>
          <w:color w:val="6B7EFF"/>
        </w:rPr>
        <w:t>[GOVERNING LAW]</w:t>
      </w:r>
      <w:r w:rsidRPr="00B23A32">
        <w:rPr>
          <w:rFonts w:asciiTheme="majorHAnsi" w:hAnsiTheme="majorHAnsi"/>
        </w:rPr>
        <w:t xml:space="preserve">, registered under number </w:t>
      </w:r>
      <w:r w:rsidRPr="00B23A32">
        <w:rPr>
          <w:rFonts w:asciiTheme="majorHAnsi" w:hAnsiTheme="majorHAnsi"/>
          <w:b/>
          <w:bCs/>
          <w:color w:val="6B7EFF"/>
        </w:rPr>
        <w:t>[REGISTRATION NUMBER]</w:t>
      </w:r>
      <w:r w:rsidRPr="00B23A32">
        <w:rPr>
          <w:rFonts w:asciiTheme="majorHAnsi" w:hAnsiTheme="majorHAnsi"/>
        </w:rPr>
        <w:t xml:space="preserve">, having its registered office at </w:t>
      </w:r>
      <w:r w:rsidRPr="00B23A32">
        <w:rPr>
          <w:rFonts w:asciiTheme="majorHAnsi" w:hAnsiTheme="majorHAnsi"/>
          <w:b/>
          <w:bCs/>
          <w:color w:val="6B7EFF"/>
        </w:rPr>
        <w:t>[FOUNDING SHAREHOLDER REGISTERED OFFICE]</w:t>
      </w:r>
      <w:r w:rsidRPr="00B23A32">
        <w:rPr>
          <w:rFonts w:asciiTheme="majorHAnsi" w:hAnsiTheme="majorHAnsi"/>
        </w:rPr>
        <w:t xml:space="preserve">, represented for the purposes hereof by its legal representative </w:t>
      </w:r>
      <w:r w:rsidRPr="00B23A32">
        <w:rPr>
          <w:rFonts w:asciiTheme="majorHAnsi" w:hAnsiTheme="majorHAnsi"/>
          <w:b/>
          <w:bCs/>
          <w:color w:val="6B7EFF"/>
        </w:rPr>
        <w:t>[NAME AND TITLE OF THE LEGAL REPRESENTATIVE]</w:t>
      </w:r>
      <w:r w:rsidRPr="00B23A32">
        <w:rPr>
          <w:rFonts w:asciiTheme="majorHAnsi" w:hAnsiTheme="majorHAnsi"/>
        </w:rPr>
        <w:t>,</w:t>
      </w:r>
    </w:p>
    <w:p w14:paraId="63F9F11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has drawn up, as follows, the articles of association of the simplified joint-stock company it has decided to incorporate:</w:t>
      </w:r>
    </w:p>
    <w:p w14:paraId="06A3494B"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I</w:t>
      </w:r>
    </w:p>
    <w:p w14:paraId="413F635D"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LEGAL FORM — PURPOSE — COMPANY NAME — REGISTERED OFFICE — DURATION</w:t>
      </w:r>
    </w:p>
    <w:p w14:paraId="37D3CB91"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 — Legal Form</w:t>
      </w:r>
    </w:p>
    <w:p w14:paraId="533538E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is a simplified joint-stock company governed by the applicable legal provisions and by these Articles of Association.</w:t>
      </w:r>
    </w:p>
    <w:p w14:paraId="3BD54E8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It may operate in the same form with either one or more shareholders.</w:t>
      </w:r>
    </w:p>
    <w:p w14:paraId="0132BC5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It may not issue shares to the public.</w:t>
      </w:r>
    </w:p>
    <w:p w14:paraId="126FC533"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 — Purpose</w:t>
      </w:r>
    </w:p>
    <w:p w14:paraId="64ECF17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Company's purpose in France and abroad (where applicable, subject to obtaining the necessary authorisations or approvals) is:</w:t>
      </w:r>
    </w:p>
    <w:p w14:paraId="70F879EC" w14:textId="27709D39" w:rsidR="00C92964" w:rsidRPr="00B23A32" w:rsidRDefault="00000000" w:rsidP="00B23A32">
      <w:pPr>
        <w:pStyle w:val="Paragraphedeliste"/>
        <w:numPr>
          <w:ilvl w:val="0"/>
          <w:numId w:val="6"/>
        </w:numPr>
        <w:spacing w:after="120"/>
        <w:jc w:val="center"/>
        <w:rPr>
          <w:rFonts w:asciiTheme="majorHAnsi" w:hAnsiTheme="majorHAnsi"/>
          <w:b/>
          <w:bCs/>
          <w:color w:val="6B7EFF"/>
        </w:rPr>
      </w:pPr>
      <w:r w:rsidRPr="00B23A32">
        <w:rPr>
          <w:rFonts w:asciiTheme="majorHAnsi" w:hAnsiTheme="majorHAnsi"/>
          <w:b/>
          <w:bCs/>
          <w:color w:val="6B7EFF"/>
        </w:rPr>
        <w:t>[PRIMARY BUSINESS ACTIVITY — describe precisely the intended field of business];</w:t>
      </w:r>
    </w:p>
    <w:p w14:paraId="076A357E"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The Company's participation, by any means, in any enterprises or companies, whether existing or to be established, that may be related to the corporate purpose; and</w:t>
      </w:r>
    </w:p>
    <w:p w14:paraId="1092E5D6"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More generally, all industrial, commercial and financial operations, relating to movable and immovable property, which may be directly or indirectly connected to the corporate purpose, and all similar or related activities that may promote its expansion or development.</w:t>
      </w:r>
    </w:p>
    <w:p w14:paraId="6E880C05"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 — Company Name</w:t>
      </w:r>
    </w:p>
    <w:p w14:paraId="74420E6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The company's name is: </w:t>
      </w:r>
      <w:r w:rsidRPr="00B23A32">
        <w:rPr>
          <w:rFonts w:asciiTheme="majorHAnsi" w:hAnsiTheme="majorHAnsi"/>
          <w:b/>
          <w:bCs/>
          <w:color w:val="6B7EFF"/>
        </w:rPr>
        <w:t>[COMPANY NAME]</w:t>
      </w:r>
    </w:p>
    <w:p w14:paraId="252E951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All deeds, invoices, advertisements, publications and other documents issued by the Company must state the company name, preceded or followed immediately by the words “Société par actions simplifiée” or the initials “S.A.S.” and a statement of the amount of the share capital.</w:t>
      </w:r>
    </w:p>
    <w:p w14:paraId="071AD5A6"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4 — Registered Office</w:t>
      </w:r>
    </w:p>
    <w:p w14:paraId="2B82F48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The registered office of the company is located at: </w:t>
      </w:r>
      <w:r w:rsidRPr="00B23A32">
        <w:rPr>
          <w:rFonts w:asciiTheme="majorHAnsi" w:hAnsiTheme="majorHAnsi"/>
          <w:b/>
          <w:bCs/>
          <w:color w:val="6B7EFF"/>
        </w:rPr>
        <w:t>[REGISTERED OFFICE ADDRESS]</w:t>
      </w:r>
      <w:r w:rsidRPr="00B23A32">
        <w:rPr>
          <w:rFonts w:asciiTheme="majorHAnsi" w:hAnsiTheme="majorHAnsi"/>
        </w:rPr>
        <w:t>.</w:t>
      </w:r>
    </w:p>
    <w:p w14:paraId="59ECCEB7"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It may be transferred to any other location by decision of the Chairman, who is authorised to amend the Articles of Association accordingly. However, the decision must be ratified by the next collective decision of the shareholders.</w:t>
      </w:r>
    </w:p>
    <w:p w14:paraId="6CC3283B"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5 — Duration</w:t>
      </w:r>
    </w:p>
    <w:p w14:paraId="15EB52E7"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is incorporated for a term of ninety-nine (99) years, commencing on the date of its registration in the Trade and Companies Register.</w:t>
      </w:r>
    </w:p>
    <w:p w14:paraId="7FD817F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This term may be extended, once or several times, by a collective decision of the shareholders taken at least one year before the company's expiry date, provided that such extension does not exceed ninety-nine (99) years.</w:t>
      </w:r>
    </w:p>
    <w:p w14:paraId="201B8951"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II</w:t>
      </w:r>
    </w:p>
    <w:p w14:paraId="5B6F9934"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CONTRIBUTIONS — SHARE CAPITAL — FORM OF SHARES — RIGHTS AND OBLIGATIONS</w:t>
      </w:r>
    </w:p>
    <w:p w14:paraId="6355433E"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6 — Contributions</w:t>
      </w:r>
    </w:p>
    <w:p w14:paraId="59019C2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Upon the incorporation of the Company, the undersigned has contributed to the Company the following sum in cash:</w:t>
      </w:r>
    </w:p>
    <w:p w14:paraId="2DD177D0" w14:textId="77777777" w:rsidR="00C92964" w:rsidRPr="00B23A32" w:rsidRDefault="00000000">
      <w:pPr>
        <w:spacing w:after="160" w:line="300" w:lineRule="auto"/>
        <w:jc w:val="both"/>
        <w:rPr>
          <w:rFonts w:asciiTheme="majorHAnsi" w:hAnsiTheme="majorHAnsi"/>
        </w:rPr>
      </w:pPr>
      <w:r w:rsidRPr="00B23A32">
        <w:rPr>
          <w:rFonts w:asciiTheme="majorHAnsi" w:hAnsiTheme="majorHAnsi"/>
          <w:b/>
          <w:bCs/>
          <w:color w:val="6B7EFF"/>
        </w:rPr>
        <w:t>[FOUNDING SHAREHOLDER NAME]</w:t>
      </w:r>
      <w:r w:rsidRPr="00B23A32">
        <w:rPr>
          <w:rFonts w:asciiTheme="majorHAnsi" w:hAnsiTheme="majorHAnsi"/>
        </w:rPr>
        <w:t xml:space="preserve">: the sum of </w:t>
      </w:r>
      <w:r w:rsidRPr="00B23A32">
        <w:rPr>
          <w:rFonts w:asciiTheme="majorHAnsi" w:hAnsiTheme="majorHAnsi"/>
          <w:b/>
          <w:bCs/>
          <w:color w:val="6B7EFF"/>
        </w:rPr>
        <w:t>[SHARE CAPITAL AMOUNT]</w:t>
      </w:r>
      <w:r w:rsidRPr="00B23A32">
        <w:rPr>
          <w:rFonts w:asciiTheme="majorHAnsi" w:hAnsiTheme="majorHAnsi"/>
        </w:rPr>
        <w:t xml:space="preserve"> euros.</w:t>
      </w:r>
    </w:p>
    <w:p w14:paraId="57EE3E0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This sum of </w:t>
      </w:r>
      <w:r w:rsidRPr="00B23A32">
        <w:rPr>
          <w:rFonts w:asciiTheme="majorHAnsi" w:hAnsiTheme="majorHAnsi"/>
          <w:b/>
          <w:bCs/>
          <w:color w:val="6B7EFF"/>
        </w:rPr>
        <w:t>[SHARE CAPITAL AMOUNT]</w:t>
      </w:r>
      <w:r w:rsidRPr="00B23A32">
        <w:rPr>
          <w:rFonts w:asciiTheme="majorHAnsi" w:hAnsiTheme="majorHAnsi"/>
        </w:rPr>
        <w:t xml:space="preserve"> euros has been deposited into an account opened in the name of the company </w:t>
      </w:r>
      <w:r w:rsidRPr="00B23A32">
        <w:rPr>
          <w:rFonts w:asciiTheme="majorHAnsi" w:hAnsiTheme="majorHAnsi"/>
          <w:b/>
          <w:bCs/>
          <w:color w:val="6B7EFF"/>
        </w:rPr>
        <w:t>[COMPANY NAME]</w:t>
      </w:r>
      <w:r w:rsidRPr="00B23A32">
        <w:rPr>
          <w:rFonts w:asciiTheme="majorHAnsi" w:hAnsiTheme="majorHAnsi"/>
        </w:rPr>
        <w:t xml:space="preserve">, currently being formed, with the bank </w:t>
      </w:r>
      <w:r w:rsidRPr="00B23A32">
        <w:rPr>
          <w:rFonts w:asciiTheme="majorHAnsi" w:hAnsiTheme="majorHAnsi"/>
          <w:b/>
          <w:bCs/>
          <w:color w:val="6B7EFF"/>
        </w:rPr>
        <w:t>[NAME OF THE DEPOSITARY BANK]</w:t>
      </w:r>
      <w:r w:rsidRPr="00B23A32">
        <w:rPr>
          <w:rFonts w:asciiTheme="majorHAnsi" w:hAnsiTheme="majorHAnsi"/>
        </w:rPr>
        <w:t xml:space="preserve">, as evidenced by a deposit certificate issued by the said bank on </w:t>
      </w:r>
      <w:r w:rsidRPr="00B23A32">
        <w:rPr>
          <w:rFonts w:asciiTheme="majorHAnsi" w:hAnsiTheme="majorHAnsi"/>
          <w:b/>
          <w:bCs/>
          <w:color w:val="6B7EFF"/>
        </w:rPr>
        <w:t>[DATE OF DEPOSIT CERTIFICATE]</w:t>
      </w:r>
      <w:r w:rsidRPr="00B23A32">
        <w:rPr>
          <w:rFonts w:asciiTheme="majorHAnsi" w:hAnsiTheme="majorHAnsi"/>
        </w:rPr>
        <w:t>.</w:t>
      </w:r>
    </w:p>
    <w:p w14:paraId="69CD853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accordance with the law, this sum may only be withdrawn by the Chairman after the company has been registered in the Trade and Companies Register, and upon presentation of the Registrar's certificate attesting to the completion of this formality.</w:t>
      </w:r>
    </w:p>
    <w:p w14:paraId="0C7CEC3F"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7 — Share Capital</w:t>
      </w:r>
    </w:p>
    <w:p w14:paraId="2F7FEF2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The share capital is set at the sum of </w:t>
      </w:r>
      <w:r w:rsidRPr="00B23A32">
        <w:rPr>
          <w:rFonts w:asciiTheme="majorHAnsi" w:hAnsiTheme="majorHAnsi"/>
          <w:b/>
          <w:bCs/>
          <w:color w:val="6B7EFF"/>
        </w:rPr>
        <w:t>[SHARE CAPITAL AMOUNT]</w:t>
      </w:r>
      <w:r w:rsidRPr="00B23A32">
        <w:rPr>
          <w:rFonts w:asciiTheme="majorHAnsi" w:hAnsiTheme="majorHAnsi"/>
        </w:rPr>
        <w:t xml:space="preserve"> euros.</w:t>
      </w:r>
    </w:p>
    <w:p w14:paraId="5A0567F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It is divided into </w:t>
      </w:r>
      <w:r w:rsidRPr="00B23A32">
        <w:rPr>
          <w:rFonts w:asciiTheme="majorHAnsi" w:hAnsiTheme="majorHAnsi"/>
          <w:b/>
          <w:bCs/>
          <w:color w:val="6B7EFF"/>
        </w:rPr>
        <w:t>[NUMBER OF SHARES]</w:t>
      </w:r>
      <w:r w:rsidRPr="00B23A32">
        <w:rPr>
          <w:rFonts w:asciiTheme="majorHAnsi" w:hAnsiTheme="majorHAnsi"/>
        </w:rPr>
        <w:t xml:space="preserve"> shares with a nominal value of </w:t>
      </w:r>
      <w:r w:rsidRPr="00B23A32">
        <w:rPr>
          <w:rFonts w:asciiTheme="majorHAnsi" w:hAnsiTheme="majorHAnsi"/>
          <w:b/>
          <w:bCs/>
          <w:color w:val="6B7EFF"/>
        </w:rPr>
        <w:t>[NOMINAL VALUE PER SHARE]</w:t>
      </w:r>
      <w:r w:rsidRPr="00B23A32">
        <w:rPr>
          <w:rFonts w:asciiTheme="majorHAnsi" w:hAnsiTheme="majorHAnsi"/>
        </w:rPr>
        <w:t xml:space="preserve"> euros each, of the same class, allocated to the shareholders in proportion to their contributions.</w:t>
      </w:r>
    </w:p>
    <w:p w14:paraId="1C72DB5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All shares issued by the Company have been fully subscribed and paid up in full.</w:t>
      </w:r>
    </w:p>
    <w:p w14:paraId="7D55FD5C" w14:textId="77777777" w:rsidR="00C92964" w:rsidRPr="00B23A32" w:rsidRDefault="00000000">
      <w:pPr>
        <w:spacing w:before="120" w:after="120"/>
        <w:ind w:left="360"/>
        <w:rPr>
          <w:rFonts w:asciiTheme="majorHAnsi" w:hAnsiTheme="majorHAnsi"/>
          <w:sz w:val="24"/>
          <w:szCs w:val="24"/>
        </w:rPr>
      </w:pPr>
      <w:r w:rsidRPr="00B23A32">
        <w:rPr>
          <w:rFonts w:asciiTheme="majorHAnsi" w:hAnsiTheme="majorHAnsi"/>
          <w:i/>
          <w:iCs/>
          <w:color w:val="7C5A0A"/>
          <w:sz w:val="24"/>
          <w:szCs w:val="24"/>
        </w:rPr>
        <w:t>Drafting note: share capital = number of shares × nominal value. Any inconsistency between these figures will be flagged at registration.</w:t>
      </w:r>
    </w:p>
    <w:p w14:paraId="66E5A150"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8 — Changes to the Share Capital</w:t>
      </w:r>
    </w:p>
    <w:p w14:paraId="126A73A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share capital may be increased or reduced by a collective decision of the shareholders acting on the Chairman's report.</w:t>
      </w:r>
    </w:p>
    <w:p w14:paraId="18E45FC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The shareholders may delegate to the Chairman the powers necessary to carry out, in accordance with the conditions and time limits laid down by law, an increase or reduction in the capital.</w:t>
      </w:r>
    </w:p>
    <w:p w14:paraId="0C3A59E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a capital increase in cash, the shareholders shall have, in proportion to their share in the share capital, a pre-emptive right to subscribe for the newly issued cash shares. However, shareholders may individually waive their pre-emptive subscription right. The resolution to increase the capital may also remove this pre-emptive right under the conditions laid down by law.</w:t>
      </w:r>
    </w:p>
    <w:p w14:paraId="35972D1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New cash shares must be paid up upon subscription of the portion of the nominal value prescribed by law and, where applicable, the entire issue premium.</w:t>
      </w:r>
    </w:p>
    <w:p w14:paraId="03A973BF"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9 — Form of Shares</w:t>
      </w:r>
    </w:p>
    <w:p w14:paraId="16CA163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Shares must be registered. They are recorded in an account in accordance with the regulations in force and applicable practice. Any shareholder may request the Company to issue a certificate of registration.</w:t>
      </w:r>
    </w:p>
    <w:p w14:paraId="61C22B4B"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10 — Rights and Obligations Attached to Shares</w:t>
      </w:r>
    </w:p>
    <w:p w14:paraId="7103BFC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1. Each share entitles the holder to a net share of the profits and of the Company's assets proportional to the proportion of the capital it represents.</w:t>
      </w:r>
    </w:p>
    <w:p w14:paraId="37E00AF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2. Shareholders shall bear losses only up to the amount of their contributions.</w:t>
      </w:r>
    </w:p>
    <w:p w14:paraId="29121E1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3. Shares are indivisible in relation to the Company. Joint owners must be represented before the Company by one of their number or by a single representative appointed by the court in the event of disagreement.</w:t>
      </w:r>
    </w:p>
    <w:p w14:paraId="371A440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4. In the event of a division of ownership, the right to vote shall belong to the bare owner for all collective decisions, except for those concerning the allocation of profits, where it is reserved for the usufructuary. The bare owner shall have the right to participate in all collective decisions.</w:t>
      </w:r>
    </w:p>
    <w:p w14:paraId="05B1C127"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5. Whenever it is necessary to hold several shares in order to exercise any right, owners of single shares or a number of shares less than that required may exercise that right only on condition that they have taken it upon themselves to arrange for the grouping and, where necessary, the purchase or sale of the required number of shares or securities.</w:t>
      </w:r>
    </w:p>
    <w:p w14:paraId="0F4BB682"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III</w:t>
      </w:r>
    </w:p>
    <w:p w14:paraId="66A55BB0"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TRANSFER OF SHARES — EXCLUSION OF SHAREHOLDERS</w:t>
      </w:r>
    </w:p>
    <w:p w14:paraId="70BB4D32"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11 — Terms and Conditions for the Transfer of Shares</w:t>
      </w:r>
    </w:p>
    <w:p w14:paraId="5C8D645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Shares are freely negotiable and transferable under the conditions set out in these Articles of Association.</w:t>
      </w:r>
    </w:p>
    <w:p w14:paraId="374F03B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transfer of shares issued by the Company is effected by a transfer from the transferor's account to the transferee's account upon presentation of a transfer order. This transfer is recorded in a transfer register, which is numbered and initialled.</w:t>
      </w:r>
    </w:p>
    <w:p w14:paraId="6D4F7B51"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lastRenderedPageBreak/>
        <w:t>Article 12 — Qualified Transfer (Drag-Along)</w:t>
      </w:r>
    </w:p>
    <w:p w14:paraId="1D3AD6D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that one or more shareholders representing more than fifty per cent (50%) of the Company's share capital and voting rights (the “Initiators”) wish to transfer all their shares to a third party who, for their part, wishes to acquire more than 50% of the Company's share capital (the “Qualified Transfer”), the other shareholders undertake to sell all their shares to the said third party, concurrently and on the same price terms as the Initiators.</w:t>
      </w:r>
    </w:p>
    <w:p w14:paraId="755034F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Initiators must notify each shareholder and the Company, represented by its Chairman, of the proposed Transfer constituting a Qualified Transfer by sending a Transfer Notice as defined in Article 13.1.2, to which the third party's offer must be attached.</w:t>
      </w:r>
    </w:p>
    <w:p w14:paraId="210DD40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Each shareholder acknowledges that the foregoing provisions constitute a promise to sell their shares and therefore irrevocably agrees, in the event that the above conditions are met, that the corresponding Transfer of their shares shall be effected, provided that the price relating to the sale of their shares has been paid in accordance with the terms set out in the Transfer Notice and in the third party's offer.</w:t>
      </w:r>
    </w:p>
    <w:p w14:paraId="2A8C162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that, for any reason, one or more shareholders fail to sign the deeds of transfer of their shares, each shareholder grants the Company, in the person of its Chairman, irrevocable authority to sign the deeds of sale relating to their shares, the sale of such shares in this case resulting from the simple deposit of the relevant sale price with the Caisse des Dépôts et Consignations or with any other banking institution or, where applicable, in the hands of the Company.</w:t>
      </w:r>
    </w:p>
    <w:p w14:paraId="5B3A37BF"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13 — Right of Pre-emption — Free Transfers — Pledges</w:t>
      </w:r>
    </w:p>
    <w:p w14:paraId="63797DF7"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No shareholder shall transfer any shares which they hold or may come to hold, except in accordance with the provisions of these Articles of Association.</w:t>
      </w:r>
    </w:p>
    <w:p w14:paraId="46E255E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Transfers of shares (other than Free Transfers and Transfers made pursuant to Article 12) shall be subject to a Right of Pre-emption, in accordance with the following provisions.</w:t>
      </w:r>
    </w:p>
    <w:p w14:paraId="7407663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Any shareholder who has received an offer of transfer relating to all or part of the Company shares held by them and which they wish to accept must notify the Company and the other shareholders of the terms of such offer at the same time, in order to enable them to exercise, where applicable, their Right of Pre-emption.</w:t>
      </w:r>
    </w:p>
    <w:p w14:paraId="5AE88B17" w14:textId="77777777" w:rsidR="00C92964" w:rsidRPr="00B23A32" w:rsidRDefault="00000000">
      <w:pPr>
        <w:spacing w:before="180" w:after="80"/>
        <w:rPr>
          <w:rFonts w:asciiTheme="majorHAnsi" w:hAnsiTheme="majorHAnsi"/>
        </w:rPr>
      </w:pPr>
      <w:r w:rsidRPr="00B23A32">
        <w:rPr>
          <w:rFonts w:asciiTheme="majorHAnsi" w:hAnsiTheme="majorHAnsi"/>
          <w:b/>
          <w:bCs/>
          <w:i/>
          <w:iCs/>
        </w:rPr>
        <w:t>13.1 Right of Pre-emption</w:t>
      </w:r>
    </w:p>
    <w:p w14:paraId="262CE62C" w14:textId="77777777" w:rsidR="00C92964" w:rsidRPr="00B23A32" w:rsidRDefault="00000000">
      <w:pPr>
        <w:spacing w:before="180" w:after="80"/>
        <w:rPr>
          <w:rFonts w:asciiTheme="majorHAnsi" w:hAnsiTheme="majorHAnsi"/>
        </w:rPr>
      </w:pPr>
      <w:r w:rsidRPr="00B23A32">
        <w:rPr>
          <w:rFonts w:asciiTheme="majorHAnsi" w:hAnsiTheme="majorHAnsi"/>
          <w:b/>
          <w:bCs/>
          <w:i/>
          <w:iCs/>
        </w:rPr>
        <w:t>13.1.1 General Principle</w:t>
      </w:r>
    </w:p>
    <w:p w14:paraId="2386E04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In the event that a shareholder (the “Transferor”) wishes to effect a Transfer of shares in the Company to another shareholder (other than a Free Transfer, namely a transfer between or for the benefit of </w:t>
      </w:r>
      <w:r w:rsidRPr="00B23A32">
        <w:rPr>
          <w:rFonts w:asciiTheme="majorHAnsi" w:hAnsiTheme="majorHAnsi"/>
          <w:b/>
          <w:bCs/>
          <w:color w:val="6B7EFF"/>
        </w:rPr>
        <w:t>[FOUNDING SHAREHOLDER NAME]</w:t>
      </w:r>
      <w:r w:rsidRPr="00B23A32">
        <w:rPr>
          <w:rFonts w:asciiTheme="majorHAnsi" w:hAnsiTheme="majorHAnsi"/>
        </w:rPr>
        <w:t>) or to a third party, the other shareholders (each, a “Beneficiary”) shall have a right of first refusal (the “Right of Pre-emption”) which may be exercised under the conditions set out below.</w:t>
      </w:r>
    </w:p>
    <w:p w14:paraId="0856E9C6" w14:textId="77777777" w:rsidR="00C92964" w:rsidRPr="00B23A32" w:rsidRDefault="00000000">
      <w:pPr>
        <w:spacing w:before="180" w:after="80"/>
        <w:rPr>
          <w:rFonts w:asciiTheme="majorHAnsi" w:hAnsiTheme="majorHAnsi"/>
        </w:rPr>
      </w:pPr>
      <w:r w:rsidRPr="00B23A32">
        <w:rPr>
          <w:rFonts w:asciiTheme="majorHAnsi" w:hAnsiTheme="majorHAnsi"/>
          <w:b/>
          <w:bCs/>
          <w:i/>
          <w:iCs/>
        </w:rPr>
        <w:t>13.1.2 Notification of the Proposed Transfer</w:t>
      </w:r>
    </w:p>
    <w:p w14:paraId="09530C9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A shareholder wishing to Transfer all or part of their shares in circumstances other than a Free Transfer shall be obliged to notify each of the other shareholders and the Company, by registered letter with acknowledgement of receipt or by letter delivered by hand against receipt (the “Transfer Notice”), of any proposed Transfer.</w:t>
      </w:r>
    </w:p>
    <w:p w14:paraId="52162D5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Transfer Notice must include all of the following information:</w:t>
      </w:r>
    </w:p>
    <w:p w14:paraId="37D6E09D" w14:textId="77777777" w:rsidR="00C92964" w:rsidRPr="00B23A32" w:rsidRDefault="00000000">
      <w:pPr>
        <w:pStyle w:val="Paragraphedeliste"/>
        <w:numPr>
          <w:ilvl w:val="0"/>
          <w:numId w:val="3"/>
        </w:numPr>
        <w:spacing w:after="100" w:line="300" w:lineRule="auto"/>
        <w:jc w:val="both"/>
        <w:rPr>
          <w:rFonts w:asciiTheme="majorHAnsi" w:hAnsiTheme="majorHAnsi"/>
        </w:rPr>
      </w:pPr>
      <w:r w:rsidRPr="00B23A32">
        <w:rPr>
          <w:rFonts w:asciiTheme="majorHAnsi" w:hAnsiTheme="majorHAnsi"/>
        </w:rPr>
        <w:t>if the prospective transferee is a natural person: their surname, first name and address; if the prospective transferee is a legal person: its name, legal form, registered office, registration number in the Trade and Companies Register or equivalent, name, forenames and addresses of its legal representatives, as well as a list of the persons and/or entities exercising direct or indirect control over it within the meaning of Article L. 233-3 of the Commercial Code;</w:t>
      </w:r>
    </w:p>
    <w:p w14:paraId="4973B7BC" w14:textId="77777777" w:rsidR="00C92964" w:rsidRPr="00B23A32" w:rsidRDefault="00000000">
      <w:pPr>
        <w:pStyle w:val="Paragraphedeliste"/>
        <w:numPr>
          <w:ilvl w:val="0"/>
          <w:numId w:val="3"/>
        </w:numPr>
        <w:spacing w:after="100" w:line="300" w:lineRule="auto"/>
        <w:jc w:val="both"/>
        <w:rPr>
          <w:rFonts w:asciiTheme="majorHAnsi" w:hAnsiTheme="majorHAnsi"/>
        </w:rPr>
      </w:pPr>
      <w:r w:rsidRPr="00B23A32">
        <w:rPr>
          <w:rFonts w:asciiTheme="majorHAnsi" w:hAnsiTheme="majorHAnsi"/>
        </w:rPr>
        <w:t>the number of shares affected by the proposed Transfer (the “Relevant Shares”);</w:t>
      </w:r>
    </w:p>
    <w:p w14:paraId="775C72D2" w14:textId="77777777" w:rsidR="00C92964" w:rsidRPr="00B23A32" w:rsidRDefault="00000000">
      <w:pPr>
        <w:pStyle w:val="Paragraphedeliste"/>
        <w:numPr>
          <w:ilvl w:val="0"/>
          <w:numId w:val="3"/>
        </w:numPr>
        <w:spacing w:after="100" w:line="300" w:lineRule="auto"/>
        <w:jc w:val="both"/>
        <w:rPr>
          <w:rFonts w:asciiTheme="majorHAnsi" w:hAnsiTheme="majorHAnsi"/>
        </w:rPr>
      </w:pPr>
      <w:r w:rsidRPr="00B23A32">
        <w:rPr>
          <w:rFonts w:asciiTheme="majorHAnsi" w:hAnsiTheme="majorHAnsi"/>
        </w:rPr>
        <w:t>the price and terms of payment on which the Transfer is to be carried out, or, where the proposed Transfer does not involve exclusively monetary consideration (exchange, contribution, merger or other), or if the Transfer of the shares forms part of an agreement that does not relate exclusively to the Transfer of said shares, the Transferor must provide, in good faith, an equivalent cash price;</w:t>
      </w:r>
    </w:p>
    <w:p w14:paraId="30ADE617" w14:textId="77777777" w:rsidR="00C92964" w:rsidRPr="00B23A32" w:rsidRDefault="00000000">
      <w:pPr>
        <w:pStyle w:val="Paragraphedeliste"/>
        <w:numPr>
          <w:ilvl w:val="0"/>
          <w:numId w:val="3"/>
        </w:numPr>
        <w:spacing w:after="100" w:line="300" w:lineRule="auto"/>
        <w:jc w:val="both"/>
        <w:rPr>
          <w:rFonts w:asciiTheme="majorHAnsi" w:hAnsiTheme="majorHAnsi"/>
        </w:rPr>
      </w:pPr>
      <w:r w:rsidRPr="00B23A32">
        <w:rPr>
          <w:rFonts w:asciiTheme="majorHAnsi" w:hAnsiTheme="majorHAnsi"/>
        </w:rPr>
        <w:t>a description of the terms and conditions of the proposed Transfer, including the terms of payment; and</w:t>
      </w:r>
    </w:p>
    <w:p w14:paraId="1A60C751" w14:textId="77777777" w:rsidR="00C92964" w:rsidRPr="00B23A32" w:rsidRDefault="00000000">
      <w:pPr>
        <w:pStyle w:val="Paragraphedeliste"/>
        <w:numPr>
          <w:ilvl w:val="0"/>
          <w:numId w:val="3"/>
        </w:numPr>
        <w:spacing w:after="100" w:line="300" w:lineRule="auto"/>
        <w:jc w:val="both"/>
        <w:rPr>
          <w:rFonts w:asciiTheme="majorHAnsi" w:hAnsiTheme="majorHAnsi"/>
        </w:rPr>
      </w:pPr>
      <w:r w:rsidRPr="00B23A32">
        <w:rPr>
          <w:rFonts w:asciiTheme="majorHAnsi" w:hAnsiTheme="majorHAnsi"/>
        </w:rPr>
        <w:t>a written undertaking by the prospective transferee to acquire the Relevant Shares and to be bound by the provisions of these Articles of Association.</w:t>
      </w:r>
    </w:p>
    <w:p w14:paraId="0DCB226E" w14:textId="77777777" w:rsidR="00C92964" w:rsidRPr="00B23A32" w:rsidRDefault="00000000">
      <w:pPr>
        <w:spacing w:before="180" w:after="80"/>
        <w:rPr>
          <w:rFonts w:asciiTheme="majorHAnsi" w:hAnsiTheme="majorHAnsi"/>
        </w:rPr>
      </w:pPr>
      <w:r w:rsidRPr="00B23A32">
        <w:rPr>
          <w:rFonts w:asciiTheme="majorHAnsi" w:hAnsiTheme="majorHAnsi"/>
          <w:b/>
          <w:bCs/>
          <w:i/>
          <w:iCs/>
        </w:rPr>
        <w:t>13.1.3 Exercise of the Right of Pre-emption</w:t>
      </w:r>
    </w:p>
    <w:p w14:paraId="44F48BA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Transfer Notice shall constitute an irrevocable offer by the Transferor to sell the Relevant Shares to the Beneficiaries on the same terms and conditions as those set out in the Transfer Notice.</w:t>
      </w:r>
    </w:p>
    <w:p w14:paraId="749F9B7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Should a Beneficiary wish to exercise their Right of Pre-emption, they must notify the Transferor, with a copy to the Company, within forty-five (45) calendar days of the date of receipt of the Transfer Notice, specifying the maximum number of shares they have decided to pre-empt.</w:t>
      </w:r>
    </w:p>
    <w:p w14:paraId="2A1C8E8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Beneficiaries who have not exercised their Right of Pre-emption within the above period shall be deemed to have irrevocably waived the Right of Pre-emption in respect of the proposed Transfer.</w:t>
      </w:r>
    </w:p>
    <w:p w14:paraId="2494D0F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the Right of Pre-emption being exercised, the sale price of the Relevant Shares shall be equal to: (i) the cash price offered by the Prospective Transferee; or (ii) in the event of a proposed Transfer by way of gift, exchange, contribution, merger, demerger or a combination of these, the price per Relevant Share offered in good faith by the Transferor, which, in the event of disagreement, shall be determined by expert valuation under Article 37.</w:t>
      </w:r>
    </w:p>
    <w:p w14:paraId="7C20B013" w14:textId="77777777" w:rsidR="00C92964" w:rsidRPr="00B23A32" w:rsidRDefault="00000000">
      <w:pPr>
        <w:spacing w:before="180" w:after="80"/>
        <w:rPr>
          <w:rFonts w:asciiTheme="majorHAnsi" w:hAnsiTheme="majorHAnsi"/>
        </w:rPr>
      </w:pPr>
      <w:r w:rsidRPr="00B23A32">
        <w:rPr>
          <w:rFonts w:asciiTheme="majorHAnsi" w:hAnsiTheme="majorHAnsi"/>
          <w:b/>
          <w:bCs/>
          <w:i/>
          <w:iCs/>
        </w:rPr>
        <w:t>13.1.4 Allocation of Shares Subject to Pre-emption</w:t>
      </w:r>
    </w:p>
    <w:p w14:paraId="0D0FB2C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that one or more Beneficiaries have validly notified their decision to exercise their Right of Pre-emption, the Relevant Shares shall be allocated as follows:</w:t>
      </w:r>
    </w:p>
    <w:p w14:paraId="2E4A4919" w14:textId="77777777" w:rsidR="00C92964" w:rsidRPr="00B23A32" w:rsidRDefault="00000000" w:rsidP="00B23A32">
      <w:pPr>
        <w:pStyle w:val="Paragraphedeliste"/>
        <w:numPr>
          <w:ilvl w:val="0"/>
          <w:numId w:val="5"/>
        </w:numPr>
        <w:spacing w:after="100" w:line="300" w:lineRule="auto"/>
        <w:jc w:val="both"/>
        <w:rPr>
          <w:rFonts w:asciiTheme="majorHAnsi" w:hAnsiTheme="majorHAnsi"/>
        </w:rPr>
      </w:pPr>
      <w:r w:rsidRPr="00B23A32">
        <w:rPr>
          <w:rFonts w:asciiTheme="majorHAnsi" w:hAnsiTheme="majorHAnsi"/>
        </w:rPr>
        <w:lastRenderedPageBreak/>
        <w:t>priority allocation to the founding shareholder where the founding shareholder has exercised the Right of Pre-emption, in proportion to the shares held;</w:t>
      </w:r>
    </w:p>
    <w:p w14:paraId="72E2FE86" w14:textId="77777777" w:rsidR="00C92964" w:rsidRPr="00B23A32" w:rsidRDefault="00000000" w:rsidP="00B23A32">
      <w:pPr>
        <w:pStyle w:val="Paragraphedeliste"/>
        <w:numPr>
          <w:ilvl w:val="0"/>
          <w:numId w:val="5"/>
        </w:numPr>
        <w:spacing w:after="100" w:line="300" w:lineRule="auto"/>
        <w:jc w:val="both"/>
        <w:rPr>
          <w:rFonts w:asciiTheme="majorHAnsi" w:hAnsiTheme="majorHAnsi"/>
        </w:rPr>
      </w:pPr>
      <w:r w:rsidRPr="00B23A32">
        <w:rPr>
          <w:rFonts w:asciiTheme="majorHAnsi" w:hAnsiTheme="majorHAnsi"/>
        </w:rPr>
        <w:t>the remaining shares may be pre-empted by the other shareholders in proportion to the shares each of them already holds, provided that the number of shares thus allocated does not exceed the number that the Beneficiary initially wished to pre-empt;</w:t>
      </w:r>
    </w:p>
    <w:p w14:paraId="094B4E99" w14:textId="77777777" w:rsidR="00C92964" w:rsidRPr="00B23A32" w:rsidRDefault="00000000" w:rsidP="00B23A32">
      <w:pPr>
        <w:pStyle w:val="Paragraphedeliste"/>
        <w:numPr>
          <w:ilvl w:val="0"/>
          <w:numId w:val="5"/>
        </w:numPr>
        <w:spacing w:after="100" w:line="300" w:lineRule="auto"/>
        <w:jc w:val="both"/>
        <w:rPr>
          <w:rFonts w:asciiTheme="majorHAnsi" w:hAnsiTheme="majorHAnsi"/>
        </w:rPr>
      </w:pPr>
      <w:r w:rsidRPr="00B23A32">
        <w:rPr>
          <w:rFonts w:asciiTheme="majorHAnsi" w:hAnsiTheme="majorHAnsi"/>
        </w:rPr>
        <w:t>in the event of fractional shares, the remaining shares shall be automatically allocated to the Beneficiary who first notified their decision to exercise the Right of Pre-emption;</w:t>
      </w:r>
    </w:p>
    <w:p w14:paraId="2912F70F" w14:textId="77777777" w:rsidR="00C92964" w:rsidRPr="00B23A32" w:rsidRDefault="00000000" w:rsidP="00B23A32">
      <w:pPr>
        <w:pStyle w:val="Paragraphedeliste"/>
        <w:numPr>
          <w:ilvl w:val="0"/>
          <w:numId w:val="5"/>
        </w:numPr>
        <w:spacing w:after="100" w:line="300" w:lineRule="auto"/>
        <w:jc w:val="both"/>
        <w:rPr>
          <w:rFonts w:asciiTheme="majorHAnsi" w:hAnsiTheme="majorHAnsi"/>
        </w:rPr>
      </w:pPr>
      <w:r w:rsidRPr="00B23A32">
        <w:rPr>
          <w:rFonts w:asciiTheme="majorHAnsi" w:hAnsiTheme="majorHAnsi"/>
        </w:rPr>
        <w:t>in the event that the total number of shares pre-empted by all Beneficiaries is less than the number of Relevant Shares, the Right of Pre-emption shall be deemed not to have been exercised by any of the Beneficiaries.</w:t>
      </w:r>
    </w:p>
    <w:p w14:paraId="579CCC1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non-exercise, the Transferor may proceed with the proposed Transfer on the same terms as those described in the Transfer Notice, subject to the approval procedure in Article 14.</w:t>
      </w:r>
    </w:p>
    <w:p w14:paraId="354F9AA7"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valid exercise, the Transfer to the Beneficiaries must be completed within thirty (30) days following the expiry of the forty-five (45)-day period, on the same conditions as those described in the Transfer Notice (or at the price determined by expert valuation).</w:t>
      </w:r>
    </w:p>
    <w:p w14:paraId="49ECC6E5" w14:textId="77777777" w:rsidR="00C92964" w:rsidRPr="00B23A32" w:rsidRDefault="00000000">
      <w:pPr>
        <w:spacing w:before="180" w:after="80"/>
        <w:rPr>
          <w:rFonts w:asciiTheme="majorHAnsi" w:hAnsiTheme="majorHAnsi"/>
        </w:rPr>
      </w:pPr>
      <w:r w:rsidRPr="00B23A32">
        <w:rPr>
          <w:rFonts w:asciiTheme="majorHAnsi" w:hAnsiTheme="majorHAnsi"/>
          <w:b/>
          <w:bCs/>
          <w:i/>
          <w:iCs/>
        </w:rPr>
        <w:t>13.1.5 Scope</w:t>
      </w:r>
    </w:p>
    <w:p w14:paraId="1B970AF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Right of Pre-emption does not apply to Free Transfers or to Transfers carried out pursuant to Article 12. Pre-emption by Beneficiaries is not subject to the approval procedure provided for in Article 14.</w:t>
      </w:r>
    </w:p>
    <w:p w14:paraId="0C8BB1E5" w14:textId="77777777" w:rsidR="00C92964" w:rsidRPr="00B23A32" w:rsidRDefault="00000000">
      <w:pPr>
        <w:spacing w:before="180" w:after="80"/>
        <w:rPr>
          <w:rFonts w:asciiTheme="majorHAnsi" w:hAnsiTheme="majorHAnsi"/>
        </w:rPr>
      </w:pPr>
      <w:r w:rsidRPr="00B23A32">
        <w:rPr>
          <w:rFonts w:asciiTheme="majorHAnsi" w:hAnsiTheme="majorHAnsi"/>
          <w:b/>
          <w:bCs/>
          <w:i/>
          <w:iCs/>
        </w:rPr>
        <w:t>13.2 Free Transfers</w:t>
      </w:r>
    </w:p>
    <w:p w14:paraId="663458B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Free Transfers (namely, transfers between, in favour of, or authorised in writing by </w:t>
      </w:r>
      <w:r w:rsidRPr="00B23A32">
        <w:rPr>
          <w:rFonts w:asciiTheme="majorHAnsi" w:hAnsiTheme="majorHAnsi"/>
          <w:b/>
          <w:bCs/>
          <w:color w:val="6B7EFF"/>
        </w:rPr>
        <w:t>[FOUNDING SHAREHOLDER NAME]</w:t>
      </w:r>
      <w:r w:rsidRPr="00B23A32">
        <w:rPr>
          <w:rFonts w:asciiTheme="majorHAnsi" w:hAnsiTheme="majorHAnsi"/>
        </w:rPr>
        <w:t>) are not subject to the Right of Pre-emption.</w:t>
      </w:r>
    </w:p>
    <w:p w14:paraId="013C12A4" w14:textId="77777777" w:rsidR="00C92964" w:rsidRPr="00B23A32" w:rsidRDefault="00000000">
      <w:pPr>
        <w:spacing w:before="180" w:after="80"/>
        <w:rPr>
          <w:rFonts w:asciiTheme="majorHAnsi" w:hAnsiTheme="majorHAnsi"/>
        </w:rPr>
      </w:pPr>
      <w:r w:rsidRPr="00B23A32">
        <w:rPr>
          <w:rFonts w:asciiTheme="majorHAnsi" w:hAnsiTheme="majorHAnsi"/>
          <w:b/>
          <w:bCs/>
          <w:i/>
          <w:iCs/>
        </w:rPr>
        <w:t>13.3 Pledges — Encumbrances</w:t>
      </w:r>
    </w:p>
    <w:p w14:paraId="78A3CCD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No shareholder may agree with a third party or another shareholder on any potential pledge or charge, or any division of rights relating to their shares, without the approval of shareholders acting by a majority of more than 50% of the votes attached to all existing shares.</w:t>
      </w:r>
    </w:p>
    <w:p w14:paraId="3EF6DF00"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14 — Approval (Agrément)</w:t>
      </w:r>
    </w:p>
    <w:p w14:paraId="1FD5E88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1. With the exception of transfers between or to the founding shareholder or authorised in writing by the founding shareholder (namely, </w:t>
      </w:r>
      <w:r w:rsidRPr="00B23A32">
        <w:rPr>
          <w:rFonts w:asciiTheme="majorHAnsi" w:hAnsiTheme="majorHAnsi"/>
          <w:b/>
          <w:bCs/>
          <w:color w:val="6B7EFF"/>
        </w:rPr>
        <w:t>[FOUNDING SHAREHOLDER NAME]</w:t>
      </w:r>
      <w:r w:rsidRPr="00B23A32">
        <w:rPr>
          <w:rFonts w:asciiTheme="majorHAnsi" w:hAnsiTheme="majorHAnsi"/>
        </w:rPr>
        <w:t>, which constitute Free Transfers), the shares of the Company may not be transferred, including between shareholders, without the prior approval granted by a collective decision of the shareholders taken by a majority of the votes of the shareholders entitled to vote.</w:t>
      </w:r>
    </w:p>
    <w:p w14:paraId="6C46619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2. The request for approval must be notified by registered letter with acknowledgement of receipt, or delivered by hand, to the Chairman. It shall specify the number of shares to be transferred, the transfer price, and full identification of the prospective transferee. This application shall be forwarded by the Chairman to the shareholders.</w:t>
      </w:r>
    </w:p>
    <w:p w14:paraId="631B33A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3. The shareholders shall have a period of three months from receipt of the application to notify the transferor of their decision. In the absence of a response within that period, approval shall be deemed to have been granted.</w:t>
      </w:r>
    </w:p>
    <w:p w14:paraId="2598638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4. Decisions to grant or refuse approval shall not be accompanied by reasons.</w:t>
      </w:r>
    </w:p>
    <w:p w14:paraId="622E38A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5. In the event of approval, the transferring shareholder may freely complete the transfer on the terms notified in their application. The transfer must be completed no later than ten (10) days from the notification of the approval decision; otherwise the approval shall lapse.</w:t>
      </w:r>
    </w:p>
    <w:p w14:paraId="22407B5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6. In the event of a refusal of approval, the Company must, within one month of notification of the refusal, acquire or arrange for the acquisition of the transferring shareholder's shares by one or more shareholders or by approved third parties. If the Company fails to do so within that period, the approval of the transferee(s) shall be deemed granted. Where the Company repurchases the shares, it must dispose of or cancel them within six months. The repurchase price shall be determined by mutual agreement or, failing that, under Article 1843-4 of the Civil Code.</w:t>
      </w:r>
    </w:p>
    <w:p w14:paraId="1EC8B18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7. The foregoing provisions apply to all transfers, whether such transfers occur in the event of inheritance, liquidation of a community of property between spouses, by way of contribution, merger, division, universal succession of a company's assets, or otherwise, as well as to transfers of allotment rights and subscription rights.</w:t>
      </w:r>
    </w:p>
    <w:p w14:paraId="144FDB6B"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15 — Nullity of Share Transfers</w:t>
      </w:r>
    </w:p>
    <w:p w14:paraId="56A15B0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All transfers of shares carried out in breach of the provisions of Articles 12 to 14 of these Articles of Association shall be null and void. Furthermore, such a transfer shall constitute just cause for exclusion under Article 17.</w:t>
      </w:r>
    </w:p>
    <w:p w14:paraId="072D2BFB"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16 — Changes in Control of a Shareholder Company</w:t>
      </w:r>
    </w:p>
    <w:p w14:paraId="6AFCDDE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1. In the event of a change in control of a shareholder company, the latter must notify the Chairman by registered letter with acknowledgement of receipt within thirty (30) days of the change. The notification must state the date of the change and provide full information on the new controlling persons.</w:t>
      </w:r>
    </w:p>
    <w:p w14:paraId="01D9B6B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2. Within thirty (30) days of receiving notification, the Company may initiate an exclusion procedure under Article 17 and suspend the non-financial rights of the affected shareholder. If the Company does not initiate the procedure within that time, it shall be deemed to have approved the change of control.</w:t>
      </w:r>
    </w:p>
    <w:p w14:paraId="1843758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3. The above provisions apply to any shareholder company that has acquired that status following a merger, demerger or dissolution.</w:t>
      </w:r>
    </w:p>
    <w:p w14:paraId="6F0191B7"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17 — Exclusion of a Shareholder</w:t>
      </w:r>
    </w:p>
    <w:p w14:paraId="2A40151D" w14:textId="77777777" w:rsidR="00C92964" w:rsidRPr="00B23A32" w:rsidRDefault="00000000">
      <w:pPr>
        <w:spacing w:before="180" w:after="80"/>
        <w:rPr>
          <w:rFonts w:asciiTheme="majorHAnsi" w:hAnsiTheme="majorHAnsi"/>
        </w:rPr>
      </w:pPr>
      <w:r w:rsidRPr="00B23A32">
        <w:rPr>
          <w:rFonts w:asciiTheme="majorHAnsi" w:hAnsiTheme="majorHAnsi"/>
          <w:b/>
          <w:bCs/>
          <w:i/>
          <w:iCs/>
        </w:rPr>
        <w:t>Grounds for Exclusion</w:t>
      </w:r>
    </w:p>
    <w:p w14:paraId="7776C84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Any shareholder who is the subject of proceedings for dissolution, receivership or compulsory liquidation shall be automatically excluded.</w:t>
      </w:r>
    </w:p>
    <w:p w14:paraId="22EE6EB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Furthermore, a shareholder may be excluded in the following cases:</w:t>
      </w:r>
    </w:p>
    <w:p w14:paraId="30192B9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lastRenderedPageBreak/>
        <w:t>breach of the provisions of these Articles of Association;</w:t>
      </w:r>
    </w:p>
    <w:p w14:paraId="50A9BE3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dismissal for gross misconduct (within the meaning of the case law of the Court of Cassation in labour law) of a shareholder from their duties as a corporate officer;</w:t>
      </w:r>
    </w:p>
    <w:p w14:paraId="1AF2D13F"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acts or conduct likely to harm the interests or reputation of the Company, in particular a criminal conviction;</w:t>
      </w:r>
    </w:p>
    <w:p w14:paraId="70521721"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 change of control of a shareholder company;</w:t>
      </w:r>
    </w:p>
    <w:p w14:paraId="184E4480"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the pursuit of an activity in competition with that of the Company, either directly or through a subsidiary or affiliated company;</w:t>
      </w:r>
    </w:p>
    <w:p w14:paraId="0DA6B18E"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refusal (voting against or abstaining from voting), without grounds consistent with the Company's interests, of one or more decisions proposed for adoption by the Chairman;</w:t>
      </w:r>
    </w:p>
    <w:p w14:paraId="4EF639E6"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permanent cessation of duties (as an employee, agent, consultant, external service provider or otherwise) within the Company for any reason;</w:t>
      </w:r>
    </w:p>
    <w:p w14:paraId="571817ED"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opposition to the Chairman's decisions for two or more consecutive financial years;</w:t>
      </w:r>
    </w:p>
    <w:p w14:paraId="525AC41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abuse in the exercise (or failure to exercise) of rights as a shareholder of the Company.</w:t>
      </w:r>
    </w:p>
    <w:p w14:paraId="7F21ED96" w14:textId="77777777" w:rsidR="00C92964" w:rsidRPr="00B23A32" w:rsidRDefault="00000000">
      <w:pPr>
        <w:spacing w:before="180" w:after="80"/>
        <w:rPr>
          <w:rFonts w:asciiTheme="majorHAnsi" w:hAnsiTheme="majorHAnsi"/>
        </w:rPr>
      </w:pPr>
      <w:r w:rsidRPr="00B23A32">
        <w:rPr>
          <w:rFonts w:asciiTheme="majorHAnsi" w:hAnsiTheme="majorHAnsi"/>
          <w:b/>
          <w:bCs/>
          <w:i/>
          <w:iCs/>
        </w:rPr>
        <w:t>Procedure</w:t>
      </w:r>
    </w:p>
    <w:p w14:paraId="53A4930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Exclusion shall be decided by a collective resolution of the shareholders passed by a majority of more than 50% of the votes attached to all existing shares.</w:t>
      </w:r>
    </w:p>
    <w:p w14:paraId="6BA906A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It is expressly stated that the shareholder subject to the exclusion proceedings shall take part in the vote, and that the votes attached to their shares shall be taken into account for the calculation of the said majority.</w:t>
      </w:r>
    </w:p>
    <w:p w14:paraId="4E70F45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decision to exclude a shareholder may only be taken subject to the following prior formalities:</w:t>
      </w:r>
    </w:p>
    <w:p w14:paraId="5E5B302E"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notification to the shareholder concerned, by registered letter with acknowledgement of receipt sent ten (10) days before the date scheduled for the meeting, of the proposed exclusion, the grounds and the meeting date;</w:t>
      </w:r>
    </w:p>
    <w:p w14:paraId="6B544ED7"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notification of the same information to all other shareholders;</w:t>
      </w:r>
    </w:p>
    <w:p w14:paraId="1C619128"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summons of the shareholder concerned to a preliminary meeting held no later than five (5) days before the exclusion meeting, to enable them to present their observations, in person or through their legal representative(s);</w:t>
      </w:r>
    </w:p>
    <w:p w14:paraId="660A7988"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at the meeting deciding on the exclusion, the shareholder concerned may be assisted or represented by legal counsel and may, at their own expense, request the presence of a bailiff.</w:t>
      </w:r>
    </w:p>
    <w:p w14:paraId="3AE5339E" w14:textId="77777777" w:rsidR="00C92964" w:rsidRPr="00B23A32" w:rsidRDefault="00000000">
      <w:pPr>
        <w:spacing w:before="180" w:after="80"/>
        <w:rPr>
          <w:rFonts w:asciiTheme="majorHAnsi" w:hAnsiTheme="majorHAnsi"/>
        </w:rPr>
      </w:pPr>
      <w:r w:rsidRPr="00B23A32">
        <w:rPr>
          <w:rFonts w:asciiTheme="majorHAnsi" w:hAnsiTheme="majorHAnsi"/>
          <w:b/>
          <w:bCs/>
          <w:i/>
          <w:iCs/>
        </w:rPr>
        <w:t>Effects</w:t>
      </w:r>
    </w:p>
    <w:p w14:paraId="05FA0CB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decision to exclude takes effect from the moment it is pronounced. It must also rule on the repurchase of the excluded shareholder's shares and designate the purchaser(s), without being required to comply with the pre-emption clause in Article 13.1.</w:t>
      </w:r>
    </w:p>
    <w:p w14:paraId="64C78E6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decision shall be notified to the excluded shareholder by registered letter with acknowledgement of receipt at the initiative of the Chairman.</w:t>
      </w:r>
    </w:p>
    <w:p w14:paraId="56AF7DF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Exclusion shall have the effect of suspending the non-monetary rights attached to all the shares of the excluded shareholder.</w:t>
      </w:r>
    </w:p>
    <w:p w14:paraId="257FE6B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repurchase price shall be agreed by mutual consent or, failing that, determined under Article 1843-4 of the Civil Code, less a twenty per cent (20%) discount. It must be paid within six months of the decision setting the price. The transfer of the shares must take place within thirty (30) days of agreement on the purchasers and the setting of the price.</w:t>
      </w:r>
    </w:p>
    <w:p w14:paraId="36C3A61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It is specified that the founding shareholder, namely </w:t>
      </w:r>
      <w:r w:rsidRPr="00B23A32">
        <w:rPr>
          <w:rFonts w:asciiTheme="majorHAnsi" w:hAnsiTheme="majorHAnsi"/>
          <w:b/>
          <w:bCs/>
          <w:color w:val="6B7EFF"/>
        </w:rPr>
        <w:t>[FOUNDING SHAREHOLDER NAME]</w:t>
      </w:r>
      <w:r w:rsidRPr="00B23A32">
        <w:rPr>
          <w:rFonts w:asciiTheme="majorHAnsi" w:hAnsiTheme="majorHAnsi"/>
        </w:rPr>
        <w:t>, may not be excluded from the Company.</w:t>
      </w:r>
    </w:p>
    <w:p w14:paraId="0AC8B55A"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18 — Lease of Shares</w:t>
      </w:r>
    </w:p>
    <w:p w14:paraId="50E1F91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leasing of shares is prohibited.</w:t>
      </w:r>
    </w:p>
    <w:p w14:paraId="081EA8F4"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IV</w:t>
      </w:r>
    </w:p>
    <w:p w14:paraId="1B443CD5"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ADMINISTRATION AND MANAGEMENT OF THE COMPANY</w:t>
      </w:r>
    </w:p>
    <w:p w14:paraId="23DE86F4"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19 — Chairman of the Company</w:t>
      </w:r>
    </w:p>
    <w:p w14:paraId="2AEC14BC" w14:textId="77777777" w:rsidR="00C92964" w:rsidRPr="00B23A32" w:rsidRDefault="00000000">
      <w:pPr>
        <w:spacing w:before="180" w:after="80"/>
        <w:rPr>
          <w:rFonts w:asciiTheme="majorHAnsi" w:hAnsiTheme="majorHAnsi"/>
        </w:rPr>
      </w:pPr>
      <w:r w:rsidRPr="00B23A32">
        <w:rPr>
          <w:rFonts w:asciiTheme="majorHAnsi" w:hAnsiTheme="majorHAnsi"/>
          <w:b/>
          <w:bCs/>
          <w:i/>
          <w:iCs/>
        </w:rPr>
        <w:t>Role</w:t>
      </w:r>
    </w:p>
    <w:p w14:paraId="3DE43ED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is represented vis-à-vis third parties, managed and administered by a Chairman, who may be a natural or legal person, whether or not a shareholder of the Company.</w:t>
      </w:r>
    </w:p>
    <w:p w14:paraId="784AE5E9" w14:textId="77777777" w:rsidR="00C92964" w:rsidRPr="00B23A32" w:rsidRDefault="00000000">
      <w:pPr>
        <w:spacing w:before="180" w:after="80"/>
        <w:rPr>
          <w:rFonts w:asciiTheme="majorHAnsi" w:hAnsiTheme="majorHAnsi"/>
        </w:rPr>
      </w:pPr>
      <w:r w:rsidRPr="00B23A32">
        <w:rPr>
          <w:rFonts w:asciiTheme="majorHAnsi" w:hAnsiTheme="majorHAnsi"/>
          <w:b/>
          <w:bCs/>
          <w:i/>
          <w:iCs/>
        </w:rPr>
        <w:t>Appointment</w:t>
      </w:r>
    </w:p>
    <w:p w14:paraId="6C6323D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first Chairman of the Company shall be appointed in accordance with these Articles of Association. During the life of the Company, the Chairman shall be appointed by a collective decision of the shareholders.</w:t>
      </w:r>
    </w:p>
    <w:p w14:paraId="3263B7D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Where the Chairman is a legal entity, that entity must appoint a permanent representative who is a natural person.</w:t>
      </w:r>
    </w:p>
    <w:p w14:paraId="368FA15F" w14:textId="77777777" w:rsidR="00C92964" w:rsidRPr="00B23A32" w:rsidRDefault="00000000">
      <w:pPr>
        <w:spacing w:before="180" w:after="80"/>
        <w:rPr>
          <w:rFonts w:asciiTheme="majorHAnsi" w:hAnsiTheme="majorHAnsi"/>
        </w:rPr>
      </w:pPr>
      <w:r w:rsidRPr="00B23A32">
        <w:rPr>
          <w:rFonts w:asciiTheme="majorHAnsi" w:hAnsiTheme="majorHAnsi"/>
          <w:b/>
          <w:bCs/>
          <w:i/>
          <w:iCs/>
        </w:rPr>
        <w:t>Term of Office</w:t>
      </w:r>
    </w:p>
    <w:p w14:paraId="3F2E883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is appointed for an indefinite term. In the event of the Chairman's death, resignation or inability to perform their duties for a period exceeding two months, a replacement Chairman shall be appointed by a collective decision of the shareholders.</w:t>
      </w:r>
    </w:p>
    <w:p w14:paraId="772B68A2" w14:textId="77777777" w:rsidR="00C92964" w:rsidRPr="00B23A32" w:rsidRDefault="00000000">
      <w:pPr>
        <w:spacing w:before="180" w:after="80"/>
        <w:rPr>
          <w:rFonts w:asciiTheme="majorHAnsi" w:hAnsiTheme="majorHAnsi"/>
        </w:rPr>
      </w:pPr>
      <w:r w:rsidRPr="00B23A32">
        <w:rPr>
          <w:rFonts w:asciiTheme="majorHAnsi" w:hAnsiTheme="majorHAnsi"/>
          <w:b/>
          <w:bCs/>
          <w:i/>
          <w:iCs/>
        </w:rPr>
        <w:t>Dismissal</w:t>
      </w:r>
    </w:p>
    <w:p w14:paraId="575A0ED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may be removed at any time, without cause and without compensation, by collective decision taken by a simple majority of votes.</w:t>
      </w:r>
    </w:p>
    <w:p w14:paraId="34F7BE2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shall be automatically dismissed, without compensation, in the following cases:</w:t>
      </w:r>
    </w:p>
    <w:p w14:paraId="1F467732"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dissolution, administration or compulsory liquidation, or a prohibition on the management of the Chairman as a legal person;</w:t>
      </w:r>
    </w:p>
    <w:p w14:paraId="6D578643"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exclusion of the Chairman as a shareholder;</w:t>
      </w:r>
    </w:p>
    <w:p w14:paraId="51C6B50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lastRenderedPageBreak/>
        <w:t>prohibition on directing, managing, administering or controlling a company or legal entity; incapacity or personal bankruptcy of the Chairman as a natural person.</w:t>
      </w:r>
    </w:p>
    <w:p w14:paraId="4F1B643F" w14:textId="77777777" w:rsidR="00C92964" w:rsidRPr="00B23A32" w:rsidRDefault="00000000">
      <w:pPr>
        <w:spacing w:before="180" w:after="80"/>
        <w:rPr>
          <w:rFonts w:asciiTheme="majorHAnsi" w:hAnsiTheme="majorHAnsi"/>
        </w:rPr>
      </w:pPr>
      <w:r w:rsidRPr="00B23A32">
        <w:rPr>
          <w:rFonts w:asciiTheme="majorHAnsi" w:hAnsiTheme="majorHAnsi"/>
          <w:b/>
          <w:bCs/>
          <w:i/>
          <w:iCs/>
        </w:rPr>
        <w:t>Remuneration</w:t>
      </w:r>
    </w:p>
    <w:p w14:paraId="68E1A02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Chairman's remuneration is determined by a collective decision of the shareholders acting by a majority of votes. The Chairman is reimbursed for entertainment and travel expenses upon presentation of receipts.</w:t>
      </w:r>
    </w:p>
    <w:p w14:paraId="32C9B4C9" w14:textId="77777777" w:rsidR="00C92964" w:rsidRPr="00B23A32" w:rsidRDefault="00000000">
      <w:pPr>
        <w:spacing w:before="180" w:after="80"/>
        <w:rPr>
          <w:rFonts w:asciiTheme="majorHAnsi" w:hAnsiTheme="majorHAnsi"/>
        </w:rPr>
      </w:pPr>
      <w:r w:rsidRPr="00B23A32">
        <w:rPr>
          <w:rFonts w:asciiTheme="majorHAnsi" w:hAnsiTheme="majorHAnsi"/>
          <w:b/>
          <w:bCs/>
          <w:i/>
          <w:iCs/>
        </w:rPr>
        <w:t>Powers</w:t>
      </w:r>
    </w:p>
    <w:p w14:paraId="7F295AD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manages the Company and represents it in dealings with third parties. In this capacity, the Chairman is vested with all the powers necessary to act in all circumstances on behalf of the Company, within the limits of the corporate purpose and the areas expressly reserved by statutory provisions and these Articles of Association for the body of shareholders.</w:t>
      </w:r>
    </w:p>
    <w:p w14:paraId="708E991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may, under their own responsibility, delegate powers to any person (a shareholder of the Company or a third party) for one or more specific purposes.</w:t>
      </w:r>
    </w:p>
    <w:p w14:paraId="2993B6A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is bound even by acts of the Chairman that fall outside the corporate purpose, unless it proves that the third party was aware that the corporate purpose had been exceeded or could not have been unaware of it given the circumstances; the publication of the Articles of Association alone shall not suffice to constitute such proof.</w:t>
      </w:r>
    </w:p>
    <w:p w14:paraId="22D2565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However, as an internal measure not enforceable against third parties, the Chairman shall refrain from taking any of the following decisions, or any decision that may lead to the same or similar effects, without the prior written authorisation of the sole shareholder:</w:t>
      </w:r>
    </w:p>
    <w:p w14:paraId="7A48351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Acquisition or disposal of shareholdings;</w:t>
      </w:r>
    </w:p>
    <w:p w14:paraId="3F2A284C"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Creation or dissolution of subsidiaries;</w:t>
      </w:r>
    </w:p>
    <w:p w14:paraId="4F58BD3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Disposal or acquisition of a business;</w:t>
      </w:r>
    </w:p>
    <w:p w14:paraId="1A5F6CAD"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Sale of an essential or strategic asset;</w:t>
      </w:r>
    </w:p>
    <w:p w14:paraId="59D8FB31"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Entering into major commercial leases (</w:t>
      </w:r>
      <w:r w:rsidRPr="00B23A32">
        <w:rPr>
          <w:rFonts w:asciiTheme="majorHAnsi" w:hAnsiTheme="majorHAnsi"/>
          <w:b/>
          <w:bCs/>
          <w:color w:val="6B7EFF"/>
        </w:rPr>
        <w:t>[THRESHOLD — e.g. €30,000]</w:t>
      </w:r>
      <w:r w:rsidRPr="00B23A32">
        <w:rPr>
          <w:rFonts w:asciiTheme="majorHAnsi" w:hAnsiTheme="majorHAnsi"/>
        </w:rPr>
        <w:t xml:space="preserve"> or more in annual rent);</w:t>
      </w:r>
    </w:p>
    <w:p w14:paraId="7429788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 xml:space="preserve">Taking out loans exceeding an annual threshold of </w:t>
      </w:r>
      <w:r w:rsidRPr="00B23A32">
        <w:rPr>
          <w:rFonts w:asciiTheme="majorHAnsi" w:hAnsiTheme="majorHAnsi"/>
          <w:b/>
          <w:bCs/>
          <w:color w:val="6B7EFF"/>
        </w:rPr>
        <w:t>[LOAN THRESHOLD]</w:t>
      </w:r>
      <w:r w:rsidRPr="00B23A32">
        <w:rPr>
          <w:rFonts w:asciiTheme="majorHAnsi" w:hAnsiTheme="majorHAnsi"/>
        </w:rPr>
        <w:t>;</w:t>
      </w:r>
    </w:p>
    <w:p w14:paraId="76023BFE"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Granting of guarantees, sureties or security;</w:t>
      </w:r>
    </w:p>
    <w:p w14:paraId="4EC474D6"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 xml:space="preserve">Unbudgeted investments totalling </w:t>
      </w:r>
      <w:r w:rsidRPr="00B23A32">
        <w:rPr>
          <w:rFonts w:asciiTheme="majorHAnsi" w:hAnsiTheme="majorHAnsi"/>
          <w:b/>
          <w:bCs/>
          <w:color w:val="6B7EFF"/>
        </w:rPr>
        <w:t>[INVESTMENT THRESHOLD]</w:t>
      </w:r>
      <w:r w:rsidRPr="00B23A32">
        <w:rPr>
          <w:rFonts w:asciiTheme="majorHAnsi" w:hAnsiTheme="majorHAnsi"/>
        </w:rPr>
        <w:t xml:space="preserve"> or more per year.</w:t>
      </w:r>
    </w:p>
    <w:p w14:paraId="61C30F6E"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20 — Chief Executive Officer</w:t>
      </w:r>
    </w:p>
    <w:p w14:paraId="1333D910" w14:textId="77777777" w:rsidR="00C92964" w:rsidRPr="00B23A32" w:rsidRDefault="00000000">
      <w:pPr>
        <w:spacing w:before="180" w:after="80"/>
        <w:rPr>
          <w:rFonts w:asciiTheme="majorHAnsi" w:hAnsiTheme="majorHAnsi"/>
        </w:rPr>
      </w:pPr>
      <w:r w:rsidRPr="00B23A32">
        <w:rPr>
          <w:rFonts w:asciiTheme="majorHAnsi" w:hAnsiTheme="majorHAnsi"/>
          <w:b/>
          <w:bCs/>
          <w:i/>
          <w:iCs/>
        </w:rPr>
        <w:t>Appointment</w:t>
      </w:r>
    </w:p>
    <w:p w14:paraId="471AF61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may appoint a legal entity or a natural person to assist in the capacity of Chief Executive Officer. Where the CEO is a legal entity, it must appoint a permanent representative who is a natural person. The CEO, as a natural person, may be employed under a contract of employment with the Company.</w:t>
      </w:r>
    </w:p>
    <w:p w14:paraId="705F511A" w14:textId="77777777" w:rsidR="00C92964" w:rsidRPr="00B23A32" w:rsidRDefault="00000000">
      <w:pPr>
        <w:spacing w:before="180" w:after="80"/>
        <w:rPr>
          <w:rFonts w:asciiTheme="majorHAnsi" w:hAnsiTheme="majorHAnsi"/>
        </w:rPr>
      </w:pPr>
      <w:r w:rsidRPr="00B23A32">
        <w:rPr>
          <w:rFonts w:asciiTheme="majorHAnsi" w:hAnsiTheme="majorHAnsi"/>
          <w:b/>
          <w:bCs/>
          <w:i/>
          <w:iCs/>
        </w:rPr>
        <w:t>Term of Office</w:t>
      </w:r>
    </w:p>
    <w:p w14:paraId="13B74B9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The term of office of the CEO is set out in the appointment decision, provided that such term shall not exceed that of the Chairman. In the event of the Chairman ceasing to hold office due to resignation, incapacity or death, the CEO shall retain office, unless the shareholders decide otherwise, until a new Chairman is appointed.</w:t>
      </w:r>
    </w:p>
    <w:p w14:paraId="79DC4834" w14:textId="77777777" w:rsidR="00C92964" w:rsidRPr="00B23A32" w:rsidRDefault="00000000">
      <w:pPr>
        <w:spacing w:before="180" w:after="80"/>
        <w:rPr>
          <w:rFonts w:asciiTheme="majorHAnsi" w:hAnsiTheme="majorHAnsi"/>
        </w:rPr>
      </w:pPr>
      <w:r w:rsidRPr="00B23A32">
        <w:rPr>
          <w:rFonts w:asciiTheme="majorHAnsi" w:hAnsiTheme="majorHAnsi"/>
          <w:b/>
          <w:bCs/>
          <w:i/>
          <w:iCs/>
        </w:rPr>
        <w:t>Dismissal</w:t>
      </w:r>
    </w:p>
    <w:p w14:paraId="12CAFD5C"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CEO may be dismissed at any time and without cause, by decision of the Chairman. Dismissal shall not give rise to any entitlement to compensation.</w:t>
      </w:r>
    </w:p>
    <w:p w14:paraId="10667FA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CEO shall be automatically dismissed in the following cases:</w:t>
      </w:r>
    </w:p>
    <w:p w14:paraId="473CCDBD"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dissolution, administration, compulsory liquidation or ban on management of the CEO (where a legal entity);</w:t>
      </w:r>
    </w:p>
    <w:p w14:paraId="02ADA6D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exclusion of the CEO who is a shareholder;</w:t>
      </w:r>
    </w:p>
    <w:p w14:paraId="5AE6AED8"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prohibition on directing, managing, administering or controlling a company or legal entity, incapacity or personal bankruptcy of the CEO as a natural person.</w:t>
      </w:r>
    </w:p>
    <w:p w14:paraId="5ECE7068" w14:textId="77777777" w:rsidR="00C92964" w:rsidRPr="00B23A32" w:rsidRDefault="00000000">
      <w:pPr>
        <w:spacing w:before="180" w:after="80"/>
        <w:rPr>
          <w:rFonts w:asciiTheme="majorHAnsi" w:hAnsiTheme="majorHAnsi"/>
        </w:rPr>
      </w:pPr>
      <w:r w:rsidRPr="00B23A32">
        <w:rPr>
          <w:rFonts w:asciiTheme="majorHAnsi" w:hAnsiTheme="majorHAnsi"/>
          <w:b/>
          <w:bCs/>
          <w:i/>
          <w:iCs/>
        </w:rPr>
        <w:t>Remuneration</w:t>
      </w:r>
    </w:p>
    <w:p w14:paraId="30BB31C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CEO's remuneration is determined at the time of appointment, except for remuneration arising from an employment contract.</w:t>
      </w:r>
    </w:p>
    <w:p w14:paraId="18708924" w14:textId="77777777" w:rsidR="00C92964" w:rsidRPr="00B23A32" w:rsidRDefault="00000000">
      <w:pPr>
        <w:spacing w:before="180" w:after="80"/>
        <w:rPr>
          <w:rFonts w:asciiTheme="majorHAnsi" w:hAnsiTheme="majorHAnsi"/>
        </w:rPr>
      </w:pPr>
      <w:r w:rsidRPr="00B23A32">
        <w:rPr>
          <w:rFonts w:asciiTheme="majorHAnsi" w:hAnsiTheme="majorHAnsi"/>
          <w:b/>
          <w:bCs/>
          <w:i/>
          <w:iCs/>
        </w:rPr>
        <w:t>Powers</w:t>
      </w:r>
    </w:p>
    <w:p w14:paraId="3049DD4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Unless otherwise restricted, the CEO shall have the same management powers as the Chairman. The CEO has the power to represent the Company in dealings with third parties.</w:t>
      </w:r>
    </w:p>
    <w:p w14:paraId="1CB9E2C7"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is bound even by acts of the CEO that fall outside the corporate purpose, unless it proves that the third party was aware that the corporate purpose had been exceeded or could not have been unaware of it given the circumstances; the publication of the Articles of Association alone shall not suffice.</w:t>
      </w:r>
    </w:p>
    <w:p w14:paraId="223DAFC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However, as an internal rule not enforceable against third parties, the CEO may only take the following decisions after prior authorisation from the Chairman or the body of shareholders:</w:t>
      </w:r>
    </w:p>
    <w:p w14:paraId="338E3E90"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Acquisition or disposal of a business or elements of a business;</w:t>
      </w:r>
    </w:p>
    <w:p w14:paraId="7302F426"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Taking over or leasing the management of a business;</w:t>
      </w:r>
    </w:p>
    <w:p w14:paraId="535D4DD7"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Acquisition and disposal of shareholdings;</w:t>
      </w:r>
    </w:p>
    <w:p w14:paraId="3D800AA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Granting of guarantees on the Company's assets;</w:t>
      </w:r>
    </w:p>
    <w:p w14:paraId="7425381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Borrowing, regardless of the amount.</w:t>
      </w:r>
    </w:p>
    <w:p w14:paraId="52E6275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may also impose additional restrictions on the CEO's powers.</w:t>
      </w:r>
    </w:p>
    <w:p w14:paraId="627F4197"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21 — Statutory Auditors</w:t>
      </w:r>
    </w:p>
    <w:p w14:paraId="47041EA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One or more permanent auditors and one or more deputy auditors must be appointed by a collective decision of the shareholders, for the term, under the conditions and for the purposes laid down by law, in particular that of auditing the Company's accounts.</w:t>
      </w:r>
    </w:p>
    <w:p w14:paraId="04192D50"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22 — Agreements between the Company and its Directors</w:t>
      </w:r>
    </w:p>
    <w:p w14:paraId="54EC097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accordance with Article L. 227-10 of the Commercial Code, any agreement entered into, directly or through an intermediary, between the Company and its Chairman, a director, a shareholder holding more than 10% of the voting rights or, in the case of a shareholder company, the company controlling it within the meaning of Article L. 233-3 of the Commercial Code, must be brought to the attention of the Statutory Auditors within one month of its conclusion.</w:t>
      </w:r>
    </w:p>
    <w:p w14:paraId="7E33E4E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or, where there is one, the Statutory Auditor, shall submit a report to the shareholders on the agreements entered into during the past financial year. The shareholders shall vote on this report each year at the general meeting held to approve the accounts for that financial year.</w:t>
      </w:r>
    </w:p>
    <w:p w14:paraId="27E2825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Unapproved agreements shall nevertheless be binding, and the person concerned shall be liable for any loss or damage caused to the Company as a result.</w:t>
      </w:r>
    </w:p>
    <w:p w14:paraId="37AEEB1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Routine agreements entered into on standard terms and which, by their nature or financial implications, are not significant for either party are not subject to the notification obligation.</w:t>
      </w:r>
    </w:p>
    <w:p w14:paraId="4C7DC6FE"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V</w:t>
      </w:r>
    </w:p>
    <w:p w14:paraId="1047DEDC"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COLLECTIVE DECISIONS OF THE SHAREHOLDERS</w:t>
      </w:r>
    </w:p>
    <w:p w14:paraId="303D5692"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23 — Matters Reserved for the Body of Shareholders</w:t>
      </w:r>
    </w:p>
    <w:p w14:paraId="3C2EDEC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body of shareholders shall have sole competence to take the following decisions:</w:t>
      </w:r>
    </w:p>
    <w:p w14:paraId="6D264E6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conversion of the Company;</w:t>
      </w:r>
    </w:p>
    <w:p w14:paraId="719B209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increase, write-down and reduction of the share capital;</w:t>
      </w:r>
    </w:p>
    <w:p w14:paraId="673DD981"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mergers, demergers, dissolution, and partial transfers of assets;</w:t>
      </w:r>
    </w:p>
    <w:p w14:paraId="4ACE20ED"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appointment of auditors;</w:t>
      </w:r>
    </w:p>
    <w:p w14:paraId="60D1EFA0"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appointment, remuneration and removal of the Chairman;</w:t>
      </w:r>
    </w:p>
    <w:p w14:paraId="70E2AA8F"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appointment, remuneration and removal of the CEO(s);</w:t>
      </w:r>
    </w:p>
    <w:p w14:paraId="42B61D32"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approval of the annual accounts and allocation of profits;</w:t>
      </w:r>
    </w:p>
    <w:p w14:paraId="5F8ADAB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approval of agreements entered into between the Company and its directors or shareholders;</w:t>
      </w:r>
    </w:p>
    <w:p w14:paraId="6CF53FE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amendment of the Articles of Association and ratification of the transfer of the registered office;</w:t>
      </w:r>
    </w:p>
    <w:p w14:paraId="17A134D9"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appointment of the liquidator and decisions relating to liquidation proceedings;</w:t>
      </w:r>
    </w:p>
    <w:p w14:paraId="1E7517AA"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approval of share transfers;</w:t>
      </w:r>
    </w:p>
    <w:p w14:paraId="0D199C65"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exclusion of a shareholder and the suspension of their voting rights.</w:t>
      </w:r>
    </w:p>
    <w:p w14:paraId="2A9174A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All other decisions fall within the competence of the Chairman.</w:t>
      </w:r>
    </w:p>
    <w:p w14:paraId="29361493"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lastRenderedPageBreak/>
        <w:t>Article 24 — Majority Rules</w:t>
      </w:r>
    </w:p>
    <w:p w14:paraId="1AC00B5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following collective decisions must be adopted unanimously by the shareholders entitled to vote:</w:t>
      </w:r>
    </w:p>
    <w:p w14:paraId="547EF9F1"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those requiring unanimity under the law;</w:t>
      </w:r>
    </w:p>
    <w:p w14:paraId="26477263"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the extension of the Company's duration.</w:t>
      </w:r>
    </w:p>
    <w:p w14:paraId="1DFBFFA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following decisions shall be taken by a majority of more than 50% of the votes:</w:t>
      </w:r>
    </w:p>
    <w:p w14:paraId="678B92A4"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removal of the Chairman;</w:t>
      </w:r>
    </w:p>
    <w:p w14:paraId="708589C6"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amendments to the Articles of Association other than those for which unanimity is required;</w:t>
      </w:r>
    </w:p>
    <w:p w14:paraId="4E0355DC"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any other decisions falling within the competence of the general meeting of shareholders.</w:t>
      </w:r>
    </w:p>
    <w:p w14:paraId="7101A62C"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25 — Procedures for Collective Decisions</w:t>
      </w:r>
    </w:p>
    <w:p w14:paraId="6750CA3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Collective decisions are taken following a notice of meeting or on the initiative of the Chairman.</w:t>
      </w:r>
    </w:p>
    <w:p w14:paraId="216B618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Collective decisions result from a meeting of the general meeting or from minutes signed by all shareholders.</w:t>
      </w:r>
    </w:p>
    <w:p w14:paraId="2F882F1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They may also be taken by any means of electronic telecommunication meeting the requirements of Article R. 225-97 of the Commercial Code. All shareholders must have responded within five (5) days of transmission.</w:t>
      </w:r>
    </w:p>
    <w:p w14:paraId="168332B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Every shareholder has the right to participate in collective decisions, either in person or by proxy. They must provide proof of their identity and that their shares are registered in their name on the date of the collective decision.</w:t>
      </w:r>
    </w:p>
    <w:p w14:paraId="423C5FA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voting rights attached to the shares are proportional to the proportion of the capital they represent. Each share entitles the holder to one vote.</w:t>
      </w:r>
    </w:p>
    <w:p w14:paraId="212E821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During the Company's liquidation period, collective decisions are taken upon convocation or at the initiative of the liquidator.</w:t>
      </w:r>
    </w:p>
    <w:p w14:paraId="10410F23"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26 — Meetings</w:t>
      </w:r>
    </w:p>
    <w:p w14:paraId="2AEE6B5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shareholders shall meet in general meeting upon the Chairman's call at the registered office or at any other venue.</w:t>
      </w:r>
    </w:p>
    <w:p w14:paraId="17988FD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However, any shareholder holding more than 20% of the capital may request that a meeting be convened.</w:t>
      </w:r>
    </w:p>
    <w:p w14:paraId="52D41861"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notice of meeting shall be issued by any means of written communication at least ten (10) days before the date of the meeting. It shall specify the agenda, the date, the time and the venue. The meeting may be held without notice if all shareholders agree.</w:t>
      </w:r>
    </w:p>
    <w:p w14:paraId="2DB82E2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meeting shall be chaired by the Chairman or, in their absence, by a shareholder appointed by the meeting.</w:t>
      </w:r>
    </w:p>
    <w:p w14:paraId="0DD09EF6"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Shareholders may be represented at the meeting by another shareholder or by a third party. Proxies may be given by any written means, including by fax or email.</w:t>
      </w:r>
    </w:p>
    <w:p w14:paraId="176F0DB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remote voting by means of an electronic voting form, or voting by proxy given by electronic signature, such voting shall be carried out either in the form of a secure electronic signature within the meaning of Decree No. 2001-272 of 30 March 2001, or in the form of a reliable identification procedure guaranteeing its link to the act to which it relates.</w:t>
      </w:r>
    </w:p>
    <w:p w14:paraId="1A6D46B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 of the meeting shall draw up minutes of the proceedings, which must contain the information specified in Article 27.</w:t>
      </w:r>
    </w:p>
    <w:p w14:paraId="6D3DFD1E"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27 — Minutes of Collective Decisions</w:t>
      </w:r>
    </w:p>
    <w:p w14:paraId="7E245BA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Collective decisions taken at a meeting must be recorded in writing in minutes drawn up in a special register. The minutes must be signed by the Chair and the shareholders present.</w:t>
      </w:r>
    </w:p>
    <w:p w14:paraId="53DD54A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minutes must state the date and place of the meeting, the surnames, first names and capacity of the Chair, the identity of the shareholders present and represented, the documents and information provided to the shareholders in advance, a summary of the discussions, as well as the text of the resolutions put to the vote and, for each resolution, how each shareholder voted.</w:t>
      </w:r>
    </w:p>
    <w:p w14:paraId="6D05B16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a collective decision resulting from the unanimous consent of all shareholders expressed in a document, that document must refer to the documents and information previously provided to the shareholders. It shall be signed by all shareholders and transcribed into the special register referred to above.</w:t>
      </w:r>
    </w:p>
    <w:p w14:paraId="0E72DC37"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28 — Prior Notification to Shareholders</w:t>
      </w:r>
    </w:p>
    <w:p w14:paraId="6776D4C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Regardless of the method of consultation, any decision by the shareholders must be preceded by the provision of information comprising all the documents and details enabling them to make an informed decision on the resolution(s) submitted for their approval.</w:t>
      </w:r>
    </w:p>
    <w:p w14:paraId="54CD322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Where collective decisions must be taken, in accordance with the law, on the basis of the report(s) of the Chairman and/or the Statutory Auditors, such report(s) must be communicated to the shareholders ten (10) days prior to the date on which the minutes of the shareholders' decision are drawn up.</w:t>
      </w:r>
    </w:p>
    <w:p w14:paraId="5F0AD36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shareholders may, at any time but provided that this does not hinder the proper functioning of the Company, inspect at the registered office and make copies of the corporate registers, the inventory and the annual accounts, the profit and loss account for the last five financial years, the consolidated accounts (if any), the Chairman's management reports and the Statutory Auditors' reports for the last three financial years.</w:t>
      </w:r>
    </w:p>
    <w:p w14:paraId="3D5D9F5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With regard to the collective decision approving the annual accounts, the shareholders may, at the Company's expense, obtain a copy of the annual accounts and, where applicable, the consolidated accounts for the last financial year.</w:t>
      </w:r>
    </w:p>
    <w:p w14:paraId="4BB7976A"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lastRenderedPageBreak/>
        <w:t>TITLE VI</w:t>
      </w:r>
    </w:p>
    <w:p w14:paraId="5D38952C"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FINANCIAL YEAR — ANNUAL ACCOUNTS — APPROPRIATION OF PROFITS</w:t>
      </w:r>
    </w:p>
    <w:p w14:paraId="5EBFA6C1"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29 — Financial Year</w:t>
      </w:r>
    </w:p>
    <w:p w14:paraId="796D17EC"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financial year shall begin on 1 January and end on 31 December of each year.</w:t>
      </w:r>
    </w:p>
    <w:p w14:paraId="693BA27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first financial year shall cover the period from the date of the Company's registration in the Trade and Companies Register until 31 December of the same year.</w:t>
      </w:r>
    </w:p>
    <w:p w14:paraId="2FD447BC"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30 — Preparation and Approval of the Annual Accounts</w:t>
      </w:r>
    </w:p>
    <w:p w14:paraId="7DD0B9F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Regular accounts of the Company's transactions shall be kept in accordance with the law and commercial practice.</w:t>
      </w:r>
    </w:p>
    <w:p w14:paraId="4B7BC55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Chairman shall prepare the annual accounts and submit them, within six (6) months of the end of the financial year, to the shareholders for approval.</w:t>
      </w:r>
    </w:p>
    <w:p w14:paraId="664EC836"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31 — Allocation and Distribution of Profits</w:t>
      </w:r>
    </w:p>
    <w:p w14:paraId="7763BA7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1. The profit and loss account summarises the income and expenses for the financial year. It shows, by difference, after deduction of depreciation and provisions, the profit or loss for the financial year.</w:t>
      </w:r>
    </w:p>
    <w:p w14:paraId="47F6962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From this profit, less any previous losses where applicable, the following shall first be deducted:</w:t>
      </w:r>
    </w:p>
    <w:p w14:paraId="59EAD498"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at least 5% to constitute the statutory reserve. This deduction ceases to be mandatory once the statutory reserve has reached one-tenth of the share capital, but shall resume if, for any reason, this proportion is no longer maintained;</w:t>
      </w:r>
    </w:p>
    <w:p w14:paraId="20EAAC2E" w14:textId="77777777" w:rsidR="00C92964" w:rsidRPr="00B23A32" w:rsidRDefault="00000000">
      <w:pPr>
        <w:pStyle w:val="Paragraphedeliste"/>
        <w:numPr>
          <w:ilvl w:val="0"/>
          <w:numId w:val="2"/>
        </w:numPr>
        <w:spacing w:after="80" w:line="300" w:lineRule="auto"/>
        <w:jc w:val="both"/>
        <w:rPr>
          <w:rFonts w:asciiTheme="majorHAnsi" w:hAnsiTheme="majorHAnsi"/>
        </w:rPr>
      </w:pPr>
      <w:r w:rsidRPr="00B23A32">
        <w:rPr>
          <w:rFonts w:asciiTheme="majorHAnsi" w:hAnsiTheme="majorHAnsi"/>
        </w:rPr>
        <w:t>any sums to be transferred to reserves in accordance with the law.</w:t>
      </w:r>
    </w:p>
    <w:p w14:paraId="65DC15D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balance, increased by the profit carried forward, constitutes the distributable profit.</w:t>
      </w:r>
    </w:p>
    <w:p w14:paraId="473E844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2. Each share entitles the holder to a net share, proportional to the proportion of the capital it represents, in the profits and reserves or in the Company's assets, both during the Company's existence and in the event of liquidation. Each share bears the Company's losses in the same proportions.</w:t>
      </w:r>
    </w:p>
    <w:p w14:paraId="4464F02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3. Following approval of the accounts and confirmation of the existence of distributable profits, the shareholders shall decide on their distribution, in whole or in part, or their allocation to one or more reserve items.</w:t>
      </w:r>
    </w:p>
    <w:p w14:paraId="6F5E04F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4. The shareholders may, by collective decision, resolve to distribute any sum drawn from profit carried forward or from available reserves, expressly indicating the reserve items from which such withdrawals are made. However, dividends shall be drawn in priority from the distributable profit for the financial year. The collective decision shall determine the terms of payment of dividends.</w:t>
      </w:r>
    </w:p>
    <w:p w14:paraId="04F29C02"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32 — Payment of Dividends — Interim Payments</w:t>
      </w:r>
    </w:p>
    <w:p w14:paraId="6A57A57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terms and conditions for the payment of cash dividends shall be determined by a collective decision of the shareholders or, failing that, by the Chairman.</w:t>
      </w:r>
    </w:p>
    <w:p w14:paraId="3F73643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However, the payment of cash dividends must take place within a maximum of nine (9) months after the end of the financial year, unless this period is extended by court order.</w:t>
      </w:r>
    </w:p>
    <w:p w14:paraId="48D7EB8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Where a balance sheet drawn up during or at the end of the financial year and certified by an auditor shows that the Company, since the close of the previous financial year, after setting aside the necessary depreciation and provisions and deducting previous losses and sums to be transferred to reserves, has made a profit, interim dividends may be distributed by decision of the Chairman prior to the approval of the financial statements. The amount of such interim dividends may not exceed the amount of the profit thus defined.</w:t>
      </w:r>
    </w:p>
    <w:p w14:paraId="1E74065F"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No claim for repayment of dividends may be made by the shareholders except where the distribution was made in breach of statutory provisions and the Company establishes that the beneficiaries were aware of the irregular nature of such distribution at the time it was made or could not have been unaware of it given the circumstances. The right to claim repayment shall lapse three years after the payment of such dividends.</w:t>
      </w:r>
    </w:p>
    <w:p w14:paraId="642519F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Dividends not claimed within five years of their payment shall be time-barred.</w:t>
      </w:r>
    </w:p>
    <w:p w14:paraId="7E610B90"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33 — Shareholders' Equity Less Than Half of the Share Capital</w:t>
      </w:r>
    </w:p>
    <w:p w14:paraId="6C058B6C"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If, as a result of losses recorded in the accounts, the Company's equity falls below half of the share capital, the Chairman must, within four (4) months of the approval of the accounts showing such losses, consult the body of shareholders to decide whether the Company should be wound up early.</w:t>
      </w:r>
    </w:p>
    <w:p w14:paraId="2BC28EA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If dissolution is not ordered, the capital must, subject to the legal provisions relating to the minimum capital, and within the period prescribed by law, be reduced by an amount equal to the losses that could not be set off against the reserves if, within that period, the equity has not returned to at least half of the share capital.</w:t>
      </w:r>
    </w:p>
    <w:p w14:paraId="61E8074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all cases, the collective decision must be published in accordance with statutory and regulatory requirements.</w:t>
      </w:r>
    </w:p>
    <w:p w14:paraId="1D6BB10B"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In the event of non-compliance, any interested party may apply to the court for dissolution. The same applies if the body of shareholders has been unable to validly deliberate. However, the court may not order dissolution if, on the date it rules on the merits, the situation has been rectified.</w:t>
      </w:r>
    </w:p>
    <w:p w14:paraId="4773B7B5"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VII</w:t>
      </w:r>
    </w:p>
    <w:p w14:paraId="3D5B63E2"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CONVERSION OF THE COMPANY</w:t>
      </w:r>
    </w:p>
    <w:p w14:paraId="7613B9BA"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34 — Conversion of the Company</w:t>
      </w:r>
    </w:p>
    <w:p w14:paraId="6DC9129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may be converted into a company of a different form by a collective decision of the shareholders under the conditions laid down by law.</w:t>
      </w:r>
    </w:p>
    <w:p w14:paraId="55DB658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decision to convert shall be taken collectively by the shareholders, on the basis of a report by the Company's Statutory Auditor, who must certify that the equity is at least equal to the share capital.</w:t>
      </w:r>
    </w:p>
    <w:p w14:paraId="5CD1CB5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lastRenderedPageBreak/>
        <w:t>Conversion into a general partnership requires the consent of all the shareholders. In this case, the conditions set out above do not apply.</w:t>
      </w:r>
    </w:p>
    <w:p w14:paraId="7771F13C"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Conversion into a limited partnership or a public limited company is decided in accordance with the conditions laid down for amendments to the Articles of Association and with the consent of each of the shareholders who agree to become general partners due to their joint and several liability for the Company's debts.</w:t>
      </w:r>
    </w:p>
    <w:p w14:paraId="694092F0"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Conversion into a limited liability company shall be decided in accordance with the conditions laid down for amending the articles of association of companies of that form.</w:t>
      </w:r>
    </w:p>
    <w:p w14:paraId="6D52030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Any conversion that would result in an increase in the shareholders' liabilities or an amendment to the provisions of these Articles of Association requiring unanimous consent must be the subject of a unanimous decision.</w:t>
      </w:r>
    </w:p>
    <w:p w14:paraId="7E4B6827"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VIII</w:t>
      </w:r>
    </w:p>
    <w:p w14:paraId="2DE791FC"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WINDING UP — LIQUIDATION OF THE COMPANY</w:t>
      </w:r>
    </w:p>
    <w:p w14:paraId="27D84717"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35 — Dissolution — Liquidation</w:t>
      </w:r>
    </w:p>
    <w:p w14:paraId="2F2C0F5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Company shall be dissolved in the cases provided for by law or in the event of early dissolution decided by a collective decision of the shareholders.</w:t>
      </w:r>
    </w:p>
    <w:p w14:paraId="4854D86A"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collective decision shall appoint one or more liquidators.</w:t>
      </w:r>
    </w:p>
    <w:p w14:paraId="79FF3E9C"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The liquidator(s) shall be vested with the broadest powers, subject to the law, to realise the assets, pay the liabilities and distribute the available balance amongst the shareholders.</w:t>
      </w:r>
    </w:p>
    <w:p w14:paraId="5011DA4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Any surplus on liquidation shall be distributed amongst the shareholders in proportion to the number of shares held by each of them.</w:t>
      </w:r>
    </w:p>
    <w:p w14:paraId="57F006D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Any losses shall be borne by the shareholders up to the amount of their capital contributions.</w:t>
      </w:r>
    </w:p>
    <w:p w14:paraId="2E4394FD"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If all the shares are held by a single person, the dissolution of the Company shall, where the sole shareholder is a legal person, result in the universal transfer of the assets to the sole shareholder, without the need for liquidation, in accordance with the provisions of Article 1844-5 of the Civil Code.</w:t>
      </w:r>
    </w:p>
    <w:p w14:paraId="71B785CC"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t>TITLE IX</w:t>
      </w:r>
    </w:p>
    <w:p w14:paraId="2894E5C9" w14:textId="77777777" w:rsidR="00C92964" w:rsidRPr="00B23A32" w:rsidRDefault="00000000">
      <w:pPr>
        <w:spacing w:before="120" w:after="240"/>
        <w:jc w:val="center"/>
        <w:rPr>
          <w:rFonts w:asciiTheme="majorHAnsi" w:hAnsiTheme="majorHAnsi"/>
        </w:rPr>
      </w:pPr>
      <w:r w:rsidRPr="00B23A32">
        <w:rPr>
          <w:rFonts w:asciiTheme="majorHAnsi" w:hAnsiTheme="majorHAnsi"/>
          <w:b/>
          <w:bCs/>
        </w:rPr>
        <w:t>DEFINITIONS — NOTIFICATIONS — DISPUTES</w:t>
      </w:r>
    </w:p>
    <w:p w14:paraId="73402177"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t>Article 36 — Disputes</w:t>
      </w:r>
    </w:p>
    <w:p w14:paraId="7E50BD1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All disputes concerning the Company's affairs that may arise during the Company's existence or its liquidation, whether between the shareholders and the Company or between the shareholders themselves, shall be adjudicated in accordance with the law and submitted to the jurisdiction of the competent courts under the conditions of ordinary law.</w:t>
      </w:r>
    </w:p>
    <w:p w14:paraId="7A728300" w14:textId="77777777" w:rsidR="00C92964" w:rsidRPr="00B23A32" w:rsidRDefault="00000000">
      <w:pPr>
        <w:spacing w:before="280" w:after="120"/>
        <w:rPr>
          <w:rFonts w:asciiTheme="majorHAnsi" w:hAnsiTheme="majorHAnsi"/>
        </w:rPr>
      </w:pPr>
      <w:r w:rsidRPr="00B23A32">
        <w:rPr>
          <w:rFonts w:asciiTheme="majorHAnsi" w:hAnsiTheme="majorHAnsi"/>
          <w:b/>
          <w:bCs/>
          <w:sz w:val="24"/>
          <w:szCs w:val="24"/>
        </w:rPr>
        <w:lastRenderedPageBreak/>
        <w:t>Article 37 — Definitions; Notifications</w:t>
      </w:r>
    </w:p>
    <w:p w14:paraId="16189602" w14:textId="77777777" w:rsidR="00C92964" w:rsidRPr="00B23A32" w:rsidRDefault="00000000">
      <w:pPr>
        <w:spacing w:before="180" w:after="80"/>
        <w:rPr>
          <w:rFonts w:asciiTheme="majorHAnsi" w:hAnsiTheme="majorHAnsi"/>
        </w:rPr>
      </w:pPr>
      <w:r w:rsidRPr="00B23A32">
        <w:rPr>
          <w:rFonts w:asciiTheme="majorHAnsi" w:hAnsiTheme="majorHAnsi"/>
          <w:b/>
          <w:bCs/>
          <w:i/>
          <w:iCs/>
        </w:rPr>
        <w:t>37.1 Definitions</w:t>
      </w:r>
    </w:p>
    <w:p w14:paraId="483F79B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For the purposes of these Articles of Association, the following terms beginning with a capital letter shall have the meanings set out below:</w:t>
      </w:r>
    </w:p>
    <w:p w14:paraId="462CEA52"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“Shareholder” means, on a given date, the holder of shares in the Company on that date.</w:t>
      </w:r>
    </w:p>
    <w:p w14:paraId="4426364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“Expert opinion” means, in relation to a fact, a calculation or the result of a calculation which is said to be determined, settled or decided by expert opinion, the decision of an expert (acting in accordance with Article 1843-4 of the Civil Code) possessing sound knowledge of accounting and financial matters and appointed (in the absence of agreement between the shareholders concerned within thirty (30) days following the date of dispatch of a notice sent by the more diligent party to the other) by the President of the Commercial Court of Paris, ruling as in summary proceedings and without any right of appeal at the request of the most diligent Party; it being specified that the expert may not challenge the accounts approved by the general meeting of shareholders and shall be required, with regard to the valuation of the Company or its shares, to apply the comparable transactions method; and it is also specified that the expert shall endeavour to deliver their decision within thirty (30) days of the date of their appointment, each of the Parties concerned having had the opportunity to be heard, and that the expert's decision shall be final and without any right of appeal except in the case of manifest error.</w:t>
      </w:r>
    </w:p>
    <w:p w14:paraId="08FC8674"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“Share” means any share issued or to be issued by the Company.</w:t>
      </w:r>
    </w:p>
    <w:p w14:paraId="5ABEC903"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“Transfer” means any transfer and, in particular, without this list being exhaustive: (i) transfers of rights to be allotted shares resulting from a capital increase through the capitalisation of reserves, provisions or profits; (ii) transfers of shares for consideration or free of charge, even where such transfers take place by public auction or pursuant to a court order, or where the transfer of ownership is delayed; (iii) transfers of shares due to death, by way of gift, payment in kind, exchange, partition, loan, sale with right of repurchase, contribution to a company, partial contribution of assets, merger or demerger, regardless of the form of the company or companies, or by way of security; (iv) transfers of shares in trust, or in any other similar manner; (v) the conclusion of any option or promise, or any security or guarantee undertaking relating to shares, or any other contract restricting the rights of shareholders in respect of such shares; and (vi) transfers relating to ownership, bare ownership, usufruct or any rights deriving from a share, including any right to vote or to receive dividends, or any other division of ownership of a share.</w:t>
      </w:r>
    </w:p>
    <w:p w14:paraId="64324CC2" w14:textId="77777777" w:rsidR="00C92964" w:rsidRPr="00B23A32" w:rsidRDefault="00000000">
      <w:pPr>
        <w:spacing w:before="180" w:after="80"/>
        <w:rPr>
          <w:rFonts w:asciiTheme="majorHAnsi" w:hAnsiTheme="majorHAnsi"/>
        </w:rPr>
      </w:pPr>
      <w:r w:rsidRPr="00B23A32">
        <w:rPr>
          <w:rFonts w:asciiTheme="majorHAnsi" w:hAnsiTheme="majorHAnsi"/>
          <w:b/>
          <w:bCs/>
          <w:i/>
          <w:iCs/>
        </w:rPr>
        <w:t>37.2 Notifications</w:t>
      </w:r>
    </w:p>
    <w:p w14:paraId="78B7920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Any notice shall be delivered by hand against a receipt dated and signed by the sender and the recipient, or sent by registered post with acknowledgement of receipt.</w:t>
      </w:r>
    </w:p>
    <w:p w14:paraId="356B0C49"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A notification delivered by hand shall be deemed to have been sent and received on the date of the receipt. A notice sent by registered post with acknowledgement of receipt shall be deemed (i) to have been sent on the date of the postmark appearing on the proof of posting and (ii) to have been received (x) on the date appearing on the acknowledgement of receipt or, if the registered post was refused or not collected, (y) on the date of its first presentation.</w:t>
      </w:r>
    </w:p>
    <w:p w14:paraId="66C32741" w14:textId="77777777" w:rsidR="00C92964" w:rsidRPr="00B23A32" w:rsidRDefault="00000000">
      <w:pPr>
        <w:rPr>
          <w:rFonts w:asciiTheme="majorHAnsi" w:hAnsiTheme="majorHAnsi"/>
        </w:rPr>
      </w:pPr>
      <w:r w:rsidRPr="00B23A32">
        <w:rPr>
          <w:rFonts w:asciiTheme="majorHAnsi" w:hAnsiTheme="majorHAnsi"/>
        </w:rPr>
        <w:lastRenderedPageBreak/>
        <w:br w:type="page"/>
      </w:r>
    </w:p>
    <w:p w14:paraId="67C5E78A" w14:textId="77777777" w:rsidR="00C92964" w:rsidRPr="00B23A32" w:rsidRDefault="00000000">
      <w:pPr>
        <w:spacing w:before="400" w:after="120"/>
        <w:jc w:val="center"/>
        <w:rPr>
          <w:rFonts w:asciiTheme="majorHAnsi" w:hAnsiTheme="majorHAnsi"/>
        </w:rPr>
      </w:pPr>
      <w:r w:rsidRPr="00B23A32">
        <w:rPr>
          <w:rFonts w:asciiTheme="majorHAnsi" w:hAnsiTheme="majorHAnsi"/>
          <w:b/>
          <w:bCs/>
          <w:smallCaps/>
          <w:sz w:val="26"/>
          <w:szCs w:val="26"/>
        </w:rPr>
        <w:lastRenderedPageBreak/>
        <w:t>SIGNATURE</w:t>
      </w:r>
    </w:p>
    <w:p w14:paraId="2E508DCC"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For </w:t>
      </w:r>
      <w:r w:rsidRPr="00B23A32">
        <w:rPr>
          <w:rFonts w:asciiTheme="majorHAnsi" w:hAnsiTheme="majorHAnsi"/>
          <w:b/>
          <w:bCs/>
          <w:color w:val="6B7EFF"/>
        </w:rPr>
        <w:t>[FOUNDING SHAREHOLDER NAME]</w:t>
      </w:r>
      <w:r w:rsidRPr="00B23A32">
        <w:rPr>
          <w:rFonts w:asciiTheme="majorHAnsi" w:hAnsiTheme="majorHAnsi"/>
        </w:rPr>
        <w:t xml:space="preserve">, a </w:t>
      </w:r>
      <w:r w:rsidRPr="00B23A32">
        <w:rPr>
          <w:rFonts w:asciiTheme="majorHAnsi" w:hAnsiTheme="majorHAnsi"/>
          <w:b/>
          <w:bCs/>
          <w:color w:val="6B7EFF"/>
        </w:rPr>
        <w:t>[LEGAL FORM]</w:t>
      </w:r>
      <w:r w:rsidRPr="00B23A32">
        <w:rPr>
          <w:rFonts w:asciiTheme="majorHAnsi" w:hAnsiTheme="majorHAnsi"/>
        </w:rPr>
        <w:t xml:space="preserve">, registered under </w:t>
      </w:r>
      <w:r w:rsidRPr="00B23A32">
        <w:rPr>
          <w:rFonts w:asciiTheme="majorHAnsi" w:hAnsiTheme="majorHAnsi"/>
          <w:b/>
          <w:bCs/>
          <w:color w:val="6B7EFF"/>
        </w:rPr>
        <w:t>[REGISTRATION NUMBER]</w:t>
      </w:r>
      <w:r w:rsidRPr="00B23A32">
        <w:rPr>
          <w:rFonts w:asciiTheme="majorHAnsi" w:hAnsiTheme="majorHAnsi"/>
        </w:rPr>
        <w:t xml:space="preserve">, with its registered office at </w:t>
      </w:r>
      <w:r w:rsidRPr="00B23A32">
        <w:rPr>
          <w:rFonts w:asciiTheme="majorHAnsi" w:hAnsiTheme="majorHAnsi"/>
          <w:b/>
          <w:bCs/>
          <w:color w:val="6B7EFF"/>
        </w:rPr>
        <w:t>[FOUNDING SHAREHOLDER REGISTERED OFFICE]</w:t>
      </w:r>
    </w:p>
    <w:p w14:paraId="635C9DD4" w14:textId="77777777" w:rsidR="00C92964" w:rsidRPr="00B23A32" w:rsidRDefault="00C92964">
      <w:pPr>
        <w:spacing w:after="240"/>
        <w:rPr>
          <w:rFonts w:asciiTheme="majorHAnsi" w:hAnsiTheme="majorHAnsi"/>
        </w:rPr>
      </w:pPr>
    </w:p>
    <w:p w14:paraId="731FBC3B" w14:textId="77777777" w:rsidR="00C92964" w:rsidRPr="00B23A32" w:rsidRDefault="00000000">
      <w:pPr>
        <w:spacing w:after="160" w:line="300" w:lineRule="auto"/>
        <w:jc w:val="both"/>
        <w:rPr>
          <w:rFonts w:asciiTheme="majorHAnsi" w:hAnsiTheme="majorHAnsi"/>
        </w:rPr>
      </w:pPr>
      <w:r w:rsidRPr="00B23A32">
        <w:rPr>
          <w:rFonts w:asciiTheme="majorHAnsi" w:hAnsiTheme="majorHAnsi"/>
          <w:b/>
          <w:bCs/>
          <w:color w:val="6B7EFF"/>
        </w:rPr>
        <w:t>[NAME AND TITLE OF THE LEGAL REPRESENTATIVE]</w:t>
      </w:r>
    </w:p>
    <w:p w14:paraId="23852B0E"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Legal representative</w:t>
      </w:r>
    </w:p>
    <w:p w14:paraId="46D1893C" w14:textId="77777777" w:rsidR="00C92964" w:rsidRPr="00B23A32" w:rsidRDefault="00C92964">
      <w:pPr>
        <w:spacing w:after="240"/>
        <w:rPr>
          <w:rFonts w:asciiTheme="majorHAnsi" w:hAnsiTheme="majorHAnsi"/>
        </w:rPr>
      </w:pPr>
    </w:p>
    <w:p w14:paraId="6F8A91C5"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 xml:space="preserve">Date: </w:t>
      </w:r>
      <w:r w:rsidRPr="00B23A32">
        <w:rPr>
          <w:rFonts w:asciiTheme="majorHAnsi" w:hAnsiTheme="majorHAnsi"/>
          <w:b/>
          <w:bCs/>
          <w:color w:val="6B7EFF"/>
        </w:rPr>
        <w:t>[DATE]</w:t>
      </w:r>
    </w:p>
    <w:p w14:paraId="32071DA4" w14:textId="77777777" w:rsidR="00C92964" w:rsidRPr="00B23A32" w:rsidRDefault="00C92964">
      <w:pPr>
        <w:spacing w:after="240"/>
        <w:rPr>
          <w:rFonts w:asciiTheme="majorHAnsi" w:hAnsiTheme="majorHAnsi"/>
        </w:rPr>
      </w:pPr>
    </w:p>
    <w:p w14:paraId="5608E5C8" w14:textId="77777777" w:rsidR="00C92964" w:rsidRPr="00B23A32" w:rsidRDefault="00000000">
      <w:pPr>
        <w:spacing w:after="160" w:line="300" w:lineRule="auto"/>
        <w:jc w:val="both"/>
        <w:rPr>
          <w:rFonts w:asciiTheme="majorHAnsi" w:hAnsiTheme="majorHAnsi"/>
        </w:rPr>
      </w:pPr>
      <w:r w:rsidRPr="00B23A32">
        <w:rPr>
          <w:rFonts w:asciiTheme="majorHAnsi" w:hAnsiTheme="majorHAnsi"/>
        </w:rPr>
        <w:t>Signature:</w:t>
      </w:r>
    </w:p>
    <w:sectPr w:rsidR="00C92964" w:rsidRPr="00B23A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36B3"/>
    <w:multiLevelType w:val="hybridMultilevel"/>
    <w:tmpl w:val="57744E60"/>
    <w:lvl w:ilvl="0" w:tplc="4DFAF040">
      <w:start w:val="1"/>
      <w:numFmt w:val="bullet"/>
      <w:lvlText w:val="●"/>
      <w:lvlJc w:val="left"/>
      <w:pPr>
        <w:ind w:left="720" w:hanging="360"/>
      </w:pPr>
    </w:lvl>
    <w:lvl w:ilvl="1" w:tplc="8A543744">
      <w:start w:val="1"/>
      <w:numFmt w:val="bullet"/>
      <w:lvlText w:val="○"/>
      <w:lvlJc w:val="left"/>
      <w:pPr>
        <w:ind w:left="1440" w:hanging="360"/>
      </w:pPr>
    </w:lvl>
    <w:lvl w:ilvl="2" w:tplc="B98474F8">
      <w:start w:val="1"/>
      <w:numFmt w:val="bullet"/>
      <w:lvlText w:val="■"/>
      <w:lvlJc w:val="left"/>
      <w:pPr>
        <w:ind w:left="2160" w:hanging="360"/>
      </w:pPr>
    </w:lvl>
    <w:lvl w:ilvl="3" w:tplc="E4842FEC">
      <w:start w:val="1"/>
      <w:numFmt w:val="bullet"/>
      <w:lvlText w:val="●"/>
      <w:lvlJc w:val="left"/>
      <w:pPr>
        <w:ind w:left="2880" w:hanging="360"/>
      </w:pPr>
    </w:lvl>
    <w:lvl w:ilvl="4" w:tplc="C026F18C">
      <w:start w:val="1"/>
      <w:numFmt w:val="bullet"/>
      <w:lvlText w:val="○"/>
      <w:lvlJc w:val="left"/>
      <w:pPr>
        <w:ind w:left="3600" w:hanging="360"/>
      </w:pPr>
    </w:lvl>
    <w:lvl w:ilvl="5" w:tplc="09403D7C">
      <w:start w:val="1"/>
      <w:numFmt w:val="bullet"/>
      <w:lvlText w:val="■"/>
      <w:lvlJc w:val="left"/>
      <w:pPr>
        <w:ind w:left="4320" w:hanging="360"/>
      </w:pPr>
    </w:lvl>
    <w:lvl w:ilvl="6" w:tplc="5232B9E0">
      <w:start w:val="1"/>
      <w:numFmt w:val="bullet"/>
      <w:lvlText w:val="●"/>
      <w:lvlJc w:val="left"/>
      <w:pPr>
        <w:ind w:left="5040" w:hanging="360"/>
      </w:pPr>
    </w:lvl>
    <w:lvl w:ilvl="7" w:tplc="3EDAB5F4">
      <w:start w:val="1"/>
      <w:numFmt w:val="bullet"/>
      <w:lvlText w:val="●"/>
      <w:lvlJc w:val="left"/>
      <w:pPr>
        <w:ind w:left="5760" w:hanging="360"/>
      </w:pPr>
    </w:lvl>
    <w:lvl w:ilvl="8" w:tplc="0742C590">
      <w:start w:val="1"/>
      <w:numFmt w:val="bullet"/>
      <w:lvlText w:val="●"/>
      <w:lvlJc w:val="left"/>
      <w:pPr>
        <w:ind w:left="6480" w:hanging="360"/>
      </w:pPr>
    </w:lvl>
  </w:abstractNum>
  <w:abstractNum w:abstractNumId="1" w15:restartNumberingAfterBreak="0">
    <w:nsid w:val="27E8296A"/>
    <w:multiLevelType w:val="hybridMultilevel"/>
    <w:tmpl w:val="098EEF10"/>
    <w:lvl w:ilvl="0" w:tplc="F6BC5278">
      <w:start w:val="1"/>
      <w:numFmt w:val="bullet"/>
      <w:lvlText w:val="•"/>
      <w:lvlJc w:val="left"/>
      <w:pPr>
        <w:ind w:left="720" w:hanging="360"/>
      </w:pPr>
    </w:lvl>
    <w:lvl w:ilvl="1" w:tplc="23E42CFC">
      <w:numFmt w:val="decimal"/>
      <w:lvlText w:val=""/>
      <w:lvlJc w:val="left"/>
    </w:lvl>
    <w:lvl w:ilvl="2" w:tplc="3A2C3776">
      <w:numFmt w:val="decimal"/>
      <w:lvlText w:val=""/>
      <w:lvlJc w:val="left"/>
    </w:lvl>
    <w:lvl w:ilvl="3" w:tplc="15163724">
      <w:numFmt w:val="decimal"/>
      <w:lvlText w:val=""/>
      <w:lvlJc w:val="left"/>
    </w:lvl>
    <w:lvl w:ilvl="4" w:tplc="C5B69496">
      <w:numFmt w:val="decimal"/>
      <w:lvlText w:val=""/>
      <w:lvlJc w:val="left"/>
    </w:lvl>
    <w:lvl w:ilvl="5" w:tplc="B6BAB47E">
      <w:numFmt w:val="decimal"/>
      <w:lvlText w:val=""/>
      <w:lvlJc w:val="left"/>
    </w:lvl>
    <w:lvl w:ilvl="6" w:tplc="D53611CA">
      <w:numFmt w:val="decimal"/>
      <w:lvlText w:val=""/>
      <w:lvlJc w:val="left"/>
    </w:lvl>
    <w:lvl w:ilvl="7" w:tplc="C576C1DC">
      <w:numFmt w:val="decimal"/>
      <w:lvlText w:val=""/>
      <w:lvlJc w:val="left"/>
    </w:lvl>
    <w:lvl w:ilvl="8" w:tplc="CC964008">
      <w:numFmt w:val="decimal"/>
      <w:lvlText w:val=""/>
      <w:lvlJc w:val="left"/>
    </w:lvl>
  </w:abstractNum>
  <w:abstractNum w:abstractNumId="2" w15:restartNumberingAfterBreak="0">
    <w:nsid w:val="34B660ED"/>
    <w:multiLevelType w:val="hybridMultilevel"/>
    <w:tmpl w:val="8E16777C"/>
    <w:lvl w:ilvl="0" w:tplc="0F74339E">
      <w:start w:val="4"/>
      <w:numFmt w:val="bullet"/>
      <w:lvlText w:val=""/>
      <w:lvlJc w:val="left"/>
      <w:pPr>
        <w:ind w:left="720" w:hanging="360"/>
      </w:pPr>
      <w:rPr>
        <w:rFonts w:ascii="Symbol" w:eastAsia="Garamond" w:hAnsi="Symbol" w:cs="Garamond"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465B6405"/>
    <w:multiLevelType w:val="hybridMultilevel"/>
    <w:tmpl w:val="C0B2FA82"/>
    <w:lvl w:ilvl="0" w:tplc="FFFFFFFF">
      <w:start w:val="1"/>
      <w:numFmt w:val="decimal"/>
      <w:lvlText w:val="(%1)"/>
      <w:lvlJc w:val="left"/>
      <w:pPr>
        <w:ind w:left="720" w:hanging="5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78320A4"/>
    <w:multiLevelType w:val="hybridMultilevel"/>
    <w:tmpl w:val="C0B2FA82"/>
    <w:lvl w:ilvl="0" w:tplc="D1E6FFAE">
      <w:start w:val="1"/>
      <w:numFmt w:val="decimal"/>
      <w:lvlText w:val="(%1)"/>
      <w:lvlJc w:val="left"/>
      <w:pPr>
        <w:ind w:left="720" w:hanging="540"/>
      </w:pPr>
    </w:lvl>
    <w:lvl w:ilvl="1" w:tplc="4CA48090">
      <w:numFmt w:val="decimal"/>
      <w:lvlText w:val=""/>
      <w:lvlJc w:val="left"/>
    </w:lvl>
    <w:lvl w:ilvl="2" w:tplc="8C7298DC">
      <w:numFmt w:val="decimal"/>
      <w:lvlText w:val=""/>
      <w:lvlJc w:val="left"/>
    </w:lvl>
    <w:lvl w:ilvl="3" w:tplc="B88A1D66">
      <w:numFmt w:val="decimal"/>
      <w:lvlText w:val=""/>
      <w:lvlJc w:val="left"/>
    </w:lvl>
    <w:lvl w:ilvl="4" w:tplc="22349A22">
      <w:numFmt w:val="decimal"/>
      <w:lvlText w:val=""/>
      <w:lvlJc w:val="left"/>
    </w:lvl>
    <w:lvl w:ilvl="5" w:tplc="A7F04E7C">
      <w:numFmt w:val="decimal"/>
      <w:lvlText w:val=""/>
      <w:lvlJc w:val="left"/>
    </w:lvl>
    <w:lvl w:ilvl="6" w:tplc="5E22CD44">
      <w:numFmt w:val="decimal"/>
      <w:lvlText w:val=""/>
      <w:lvlJc w:val="left"/>
    </w:lvl>
    <w:lvl w:ilvl="7" w:tplc="5C1E6A00">
      <w:numFmt w:val="decimal"/>
      <w:lvlText w:val=""/>
      <w:lvlJc w:val="left"/>
    </w:lvl>
    <w:lvl w:ilvl="8" w:tplc="F618A146">
      <w:numFmt w:val="decimal"/>
      <w:lvlText w:val=""/>
      <w:lvlJc w:val="left"/>
    </w:lvl>
  </w:abstractNum>
  <w:num w:numId="1" w16cid:durableId="182325584">
    <w:abstractNumId w:val="0"/>
    <w:lvlOverride w:ilvl="0">
      <w:startOverride w:val="1"/>
    </w:lvlOverride>
  </w:num>
  <w:num w:numId="2" w16cid:durableId="259916224">
    <w:abstractNumId w:val="1"/>
    <w:lvlOverride w:ilvl="0">
      <w:startOverride w:val="1"/>
    </w:lvlOverride>
  </w:num>
  <w:num w:numId="3" w16cid:durableId="1714235506">
    <w:abstractNumId w:val="4"/>
    <w:lvlOverride w:ilvl="0">
      <w:startOverride w:val="1"/>
    </w:lvlOverride>
  </w:num>
  <w:num w:numId="4" w16cid:durableId="1841264537">
    <w:abstractNumId w:val="4"/>
  </w:num>
  <w:num w:numId="5" w16cid:durableId="1435974794">
    <w:abstractNumId w:val="3"/>
  </w:num>
  <w:num w:numId="6" w16cid:durableId="975838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964"/>
    <w:rsid w:val="000D429E"/>
    <w:rsid w:val="001F5855"/>
    <w:rsid w:val="008E3B14"/>
    <w:rsid w:val="00B23A32"/>
    <w:rsid w:val="00C9296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C523"/>
  <w15:docId w15:val="{78FD5024-9A9E-4803-88AD-EF71903B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6921</Words>
  <Characters>39455</Characters>
  <Application>Microsoft Office Word</Application>
  <DocSecurity>0</DocSecurity>
  <Lines>328</Lines>
  <Paragraphs>92</Paragraphs>
  <ScaleCrop>false</ScaleCrop>
  <Company/>
  <LinksUpToDate>false</LinksUpToDate>
  <CharactersWithSpaces>46284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 Articles of Association — Anonymised Template</dc:title>
  <dc:creator>Petroff Avocats</dc:creator>
  <cp:lastModifiedBy>Mariela Petrova</cp:lastModifiedBy>
  <cp:revision>2</cp:revision>
  <dcterms:created xsi:type="dcterms:W3CDTF">2026-04-24T20:07:00Z</dcterms:created>
  <dcterms:modified xsi:type="dcterms:W3CDTF">2026-04-24T20:07:00Z</dcterms:modified>
</cp:coreProperties>
</file>